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99359684"/>
        <w:docPartObj>
          <w:docPartGallery w:val="Cover Pages"/>
          <w:docPartUnique/>
        </w:docPartObj>
      </w:sdtPr>
      <w:sdtEndPr>
        <w:rPr>
          <w:b/>
          <w:color w:val="FF0000"/>
          <w:sz w:val="28"/>
          <w:lang w:val="es-ES"/>
        </w:rPr>
      </w:sdtEndPr>
      <w:sdtContent>
        <w:p w14:paraId="51E5FDD7" w14:textId="61CD1CD3" w:rsidR="000569FC" w:rsidRDefault="000569FC">
          <w:r>
            <w:rPr>
              <w:noProof/>
              <w:lang w:val="es-ES" w:eastAsia="es-ES"/>
            </w:rPr>
            <mc:AlternateContent>
              <mc:Choice Requires="wpg">
                <w:drawing>
                  <wp:anchor distT="0" distB="0" distL="114300" distR="114300" simplePos="0" relativeHeight="251661312" behindDoc="1" locked="0" layoutInCell="1" allowOverlap="1" wp14:anchorId="7F47FA6B" wp14:editId="075EC87F">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40"/>
                                      <w:lang w:val="es-ES"/>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73E07D5" w14:textId="1D88CBED" w:rsidR="000569FC" w:rsidRPr="000569FC" w:rsidRDefault="000569FC">
                                      <w:pPr>
                                        <w:pStyle w:val="Sinespaciado"/>
                                        <w:spacing w:before="120"/>
                                        <w:jc w:val="center"/>
                                        <w:rPr>
                                          <w:color w:val="FFFFFF" w:themeColor="background1"/>
                                          <w:sz w:val="40"/>
                                          <w:lang w:val="es-ES"/>
                                        </w:rPr>
                                      </w:pPr>
                                      <w:r w:rsidRPr="000569FC">
                                        <w:rPr>
                                          <w:color w:val="FFFFFF" w:themeColor="background1"/>
                                          <w:sz w:val="40"/>
                                          <w:lang w:val="es-ES"/>
                                        </w:rPr>
                                        <w:t xml:space="preserve">Cátedra </w:t>
                                      </w:r>
                                      <w:proofErr w:type="spellStart"/>
                                      <w:r w:rsidRPr="000569FC">
                                        <w:rPr>
                                          <w:color w:val="FFFFFF" w:themeColor="background1"/>
                                          <w:sz w:val="40"/>
                                          <w:lang w:val="es-ES"/>
                                        </w:rPr>
                                        <w:t>CajaSiete</w:t>
                                      </w:r>
                                      <w:proofErr w:type="spellEnd"/>
                                      <w:r w:rsidRPr="000569FC">
                                        <w:rPr>
                                          <w:color w:val="FFFFFF" w:themeColor="background1"/>
                                          <w:sz w:val="40"/>
                                          <w:lang w:val="es-ES"/>
                                        </w:rPr>
                                        <w:t xml:space="preserve"> de Economía Social y Cooperativa</w:t>
                                      </w:r>
                                      <w:r w:rsidR="00514A40">
                                        <w:rPr>
                                          <w:color w:val="FFFFFF" w:themeColor="background1"/>
                                          <w:sz w:val="40"/>
                                          <w:lang w:val="es-ES"/>
                                        </w:rPr>
                                        <w:t xml:space="preserve"> Universidad de La Laguna</w:t>
                                      </w:r>
                                    </w:p>
                                  </w:sdtContent>
                                </w:sdt>
                                <w:p w14:paraId="71BF2F3F" w14:textId="27DB1002" w:rsidR="000569FC" w:rsidRDefault="006E69E7">
                                  <w:pPr>
                                    <w:pStyle w:val="Sinespaciado"/>
                                    <w:spacing w:before="120"/>
                                    <w:jc w:val="center"/>
                                    <w:rPr>
                                      <w:color w:val="FFFFFF" w:themeColor="background1"/>
                                    </w:rPr>
                                  </w:pPr>
                                  <w:sdt>
                                    <w:sdtPr>
                                      <w:rPr>
                                        <w:caps/>
                                        <w:color w:val="FFFFFF" w:themeColor="background1"/>
                                        <w:sz w:val="40"/>
                                      </w:rPr>
                                      <w:alias w:val="Company"/>
                                      <w:tag w:val=""/>
                                      <w:id w:val="1618182777"/>
                                      <w:showingPlcHdr/>
                                      <w:dataBinding w:prefixMappings="xmlns:ns0='http://schemas.openxmlformats.org/officeDocument/2006/extended-properties' " w:xpath="/ns0:Properties[1]/ns0:Company[1]" w:storeItemID="{6668398D-A668-4E3E-A5EB-62B293D839F1}"/>
                                      <w:text/>
                                    </w:sdtPr>
                                    <w:sdtEndPr>
                                      <w:rPr>
                                        <w:sz w:val="20"/>
                                      </w:rPr>
                                    </w:sdtEndPr>
                                    <w:sdtContent>
                                      <w:r w:rsidR="000569FC" w:rsidRPr="000569FC">
                                        <w:rPr>
                                          <w:caps/>
                                          <w:color w:val="FFFFFF" w:themeColor="background1"/>
                                          <w:sz w:val="40"/>
                                        </w:rPr>
                                        <w:t xml:space="preserve">     </w:t>
                                      </w:r>
                                    </w:sdtContent>
                                  </w:sdt>
                                  <w:r w:rsidR="000569F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0569FC">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ajorBidi"/>
                                      <w:caps/>
                                      <w:color w:val="9EC544" w:themeColor="accent1"/>
                                      <w:sz w:val="72"/>
                                      <w:szCs w:val="72"/>
                                      <w:lang w:val="es-ES"/>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C05E11A" w14:textId="765B5775" w:rsidR="000569FC" w:rsidRPr="00514A40" w:rsidRDefault="000569FC">
                                      <w:pPr>
                                        <w:pStyle w:val="Sinespaciado"/>
                                        <w:jc w:val="center"/>
                                        <w:rPr>
                                          <w:rFonts w:eastAsiaTheme="majorEastAsia" w:cstheme="majorBidi"/>
                                          <w:caps/>
                                          <w:color w:val="9EC544" w:themeColor="accent1"/>
                                          <w:sz w:val="72"/>
                                          <w:szCs w:val="72"/>
                                        </w:rPr>
                                      </w:pPr>
                                      <w:r w:rsidRPr="00514A40">
                                        <w:rPr>
                                          <w:rFonts w:eastAsiaTheme="majorEastAsia" w:cstheme="majorBidi"/>
                                          <w:caps/>
                                          <w:color w:val="9EC544" w:themeColor="accent1"/>
                                          <w:sz w:val="72"/>
                                          <w:szCs w:val="72"/>
                                          <w:lang w:val="es-ES"/>
                                        </w:rPr>
                                        <w:t>Guía Rápida sobre los contratos reservados. ¿Qué son? ¿Cómo se aplican?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7FA6B" id="Group 193"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" fillcolor="#9ec544 [3204]" stroked="f" strokeweight="1.5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" fillcolor="#9ec544 [3204]" stroked="f" strokeweight="1.5pt">
                      <v:textbox inset="36pt,57.6pt,36pt,36pt">
                        <w:txbxContent>
                          <w:sdt>
                            <w:sdtPr>
                              <w:rPr>
                                <w:color w:val="FFFFFF" w:themeColor="background1"/>
                                <w:sz w:val="40"/>
                                <w:lang w:val="es-ES"/>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073E07D5" w14:textId="1D88CBED" w:rsidR="000569FC" w:rsidRPr="000569FC" w:rsidRDefault="000569FC">
                                <w:pPr>
                                  <w:pStyle w:val="NoSpacing"/>
                                  <w:spacing w:before="120"/>
                                  <w:jc w:val="center"/>
                                  <w:rPr>
                                    <w:color w:val="FFFFFF" w:themeColor="background1"/>
                                    <w:sz w:val="40"/>
                                    <w:lang w:val="es-ES"/>
                                  </w:rPr>
                                </w:pPr>
                                <w:r w:rsidRPr="000569FC">
                                  <w:rPr>
                                    <w:color w:val="FFFFFF" w:themeColor="background1"/>
                                    <w:sz w:val="40"/>
                                    <w:lang w:val="es-ES"/>
                                  </w:rPr>
                                  <w:t xml:space="preserve">Cátedra </w:t>
                                </w:r>
                                <w:proofErr w:type="spellStart"/>
                                <w:r w:rsidRPr="000569FC">
                                  <w:rPr>
                                    <w:color w:val="FFFFFF" w:themeColor="background1"/>
                                    <w:sz w:val="40"/>
                                    <w:lang w:val="es-ES"/>
                                  </w:rPr>
                                  <w:t>CajaSiete</w:t>
                                </w:r>
                                <w:proofErr w:type="spellEnd"/>
                                <w:r w:rsidRPr="000569FC">
                                  <w:rPr>
                                    <w:color w:val="FFFFFF" w:themeColor="background1"/>
                                    <w:sz w:val="40"/>
                                    <w:lang w:val="es-ES"/>
                                  </w:rPr>
                                  <w:t xml:space="preserve"> de Economía Social y Cooperativa</w:t>
                                </w:r>
                                <w:r w:rsidR="00514A40">
                                  <w:rPr>
                                    <w:color w:val="FFFFFF" w:themeColor="background1"/>
                                    <w:sz w:val="40"/>
                                    <w:lang w:val="es-ES"/>
                                  </w:rPr>
                                  <w:t xml:space="preserve"> Universidad de La Laguna</w:t>
                                </w:r>
                              </w:p>
                            </w:sdtContent>
                          </w:sdt>
                          <w:p w14:paraId="71BF2F3F" w14:textId="27DB1002" w:rsidR="000569FC" w:rsidRDefault="000569FC">
                            <w:pPr>
                              <w:pStyle w:val="NoSpacing"/>
                              <w:spacing w:before="120"/>
                              <w:jc w:val="center"/>
                              <w:rPr>
                                <w:color w:val="FFFFFF" w:themeColor="background1"/>
                              </w:rPr>
                            </w:pPr>
                            <w:sdt>
                              <w:sdtPr>
                                <w:rPr>
                                  <w:caps/>
                                  <w:color w:val="FFFFFF" w:themeColor="background1"/>
                                  <w:sz w:val="40"/>
                                </w:rPr>
                                <w:alias w:val="Company"/>
                                <w:tag w:val=""/>
                                <w:id w:val="1618182777"/>
                                <w:showingPlcHdr/>
                                <w:dataBinding w:prefixMappings="xmlns:ns0='http://schemas.openxmlformats.org/officeDocument/2006/extended-properties' " w:xpath="/ns0:Properties[1]/ns0:Company[1]" w:storeItemID="{6668398D-A668-4E3E-A5EB-62B293D839F1}"/>
                                <w:text/>
                              </w:sdtPr>
                              <w:sdtEndPr>
                                <w:rPr>
                                  <w:sz w:val="20"/>
                                </w:rPr>
                              </w:sdtEndPr>
                              <w:sdtContent>
                                <w:r w:rsidRPr="000569FC">
                                  <w:rPr>
                                    <w:caps/>
                                    <w:color w:val="FFFFFF" w:themeColor="background1"/>
                                    <w:sz w:val="40"/>
                                  </w:rPr>
                                  <w:t xml:space="preserve">     </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ajorEastAsia" w:cstheme="majorBidi"/>
                                <w:caps/>
                                <w:color w:val="9EC544" w:themeColor="accent1"/>
                                <w:sz w:val="72"/>
                                <w:szCs w:val="72"/>
                                <w:lang w:val="es-ES"/>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C05E11A" w14:textId="765B5775" w:rsidR="000569FC" w:rsidRPr="00514A40" w:rsidRDefault="000569FC">
                                <w:pPr>
                                  <w:pStyle w:val="NoSpacing"/>
                                  <w:jc w:val="center"/>
                                  <w:rPr>
                                    <w:rFonts w:eastAsiaTheme="majorEastAsia" w:cstheme="majorBidi"/>
                                    <w:caps/>
                                    <w:color w:val="9EC544" w:themeColor="accent1"/>
                                    <w:sz w:val="72"/>
                                    <w:szCs w:val="72"/>
                                  </w:rPr>
                                </w:pPr>
                                <w:r w:rsidRPr="00514A40">
                                  <w:rPr>
                                    <w:rFonts w:eastAsiaTheme="majorEastAsia" w:cstheme="majorBidi"/>
                                    <w:caps/>
                                    <w:color w:val="9EC544" w:themeColor="accent1"/>
                                    <w:sz w:val="72"/>
                                    <w:szCs w:val="72"/>
                                    <w:lang w:val="es-ES"/>
                                  </w:rPr>
                                  <w:t>Guía Rápida sobre los contratos reservados. ¿Qué son? ¿Cómo se aplican?</w:t>
                                </w:r>
                              </w:p>
                            </w:sdtContent>
                          </w:sdt>
                        </w:txbxContent>
                      </v:textbox>
                    </v:shape>
                    <w10:wrap anchorx="page" anchory="page"/>
                  </v:group>
                </w:pict>
              </mc:Fallback>
            </mc:AlternateContent>
          </w:r>
        </w:p>
        <w:p w14:paraId="61427D2B" w14:textId="66D55A75" w:rsidR="000569FC" w:rsidRDefault="000569FC">
          <w:pPr>
            <w:rPr>
              <w:b/>
              <w:color w:val="FF0000"/>
              <w:sz w:val="28"/>
              <w:lang w:val="es-ES"/>
            </w:rPr>
          </w:pPr>
          <w:r>
            <w:rPr>
              <w:b/>
              <w:noProof/>
              <w:color w:val="9EC544" w:themeColor="accent1"/>
              <w:sz w:val="28"/>
              <w:lang w:val="es-ES" w:eastAsia="es-ES"/>
            </w:rPr>
            <w:drawing>
              <wp:anchor distT="0" distB="0" distL="114300" distR="114300" simplePos="0" relativeHeight="251662336" behindDoc="0" locked="0" layoutInCell="1" allowOverlap="1" wp14:anchorId="07733370" wp14:editId="21FC1D7D">
                <wp:simplePos x="0" y="0"/>
                <wp:positionH relativeFrom="margin">
                  <wp:align>right</wp:align>
                </wp:positionH>
                <wp:positionV relativeFrom="paragraph">
                  <wp:posOffset>6235065</wp:posOffset>
                </wp:positionV>
                <wp:extent cx="5391150" cy="1495425"/>
                <wp:effectExtent l="0" t="0" r="0" b="0"/>
                <wp:wrapNone/>
                <wp:docPr id="3" name="Picture 3" descr="C:\Users\Javier\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Downloads\unnam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495425"/>
                        </a:xfrm>
                        <a:prstGeom prst="rect">
                          <a:avLst/>
                        </a:prstGeom>
                        <a:noFill/>
                        <a:ln>
                          <a:noFill/>
                        </a:ln>
                      </pic:spPr>
                    </pic:pic>
                  </a:graphicData>
                </a:graphic>
              </wp:anchor>
            </w:drawing>
          </w:r>
          <w:r>
            <w:rPr>
              <w:b/>
              <w:color w:val="FF0000"/>
              <w:sz w:val="28"/>
              <w:lang w:val="es-ES"/>
            </w:rPr>
            <w:br w:type="page"/>
          </w:r>
        </w:p>
      </w:sdtContent>
    </w:sdt>
    <w:p w14:paraId="666139EF" w14:textId="3F635862" w:rsidR="00E101FA" w:rsidRPr="00597FC0" w:rsidRDefault="005F4F7D" w:rsidP="00642938">
      <w:pPr>
        <w:jc w:val="center"/>
        <w:rPr>
          <w:b/>
          <w:sz w:val="32"/>
          <w:lang w:val="es-ES"/>
        </w:rPr>
      </w:pPr>
      <w:r w:rsidRPr="00597FC0">
        <w:rPr>
          <w:b/>
          <w:sz w:val="32"/>
          <w:lang w:val="es-ES"/>
        </w:rPr>
        <w:lastRenderedPageBreak/>
        <w:t>Guía Rápida sobre los contratos reservados. ¿Qué son? ¿Cómo se aplican?</w:t>
      </w:r>
    </w:p>
    <w:p w14:paraId="1027C7E1" w14:textId="77777777" w:rsidR="00D435AA" w:rsidRPr="00597FC0" w:rsidRDefault="00D435AA">
      <w:pPr>
        <w:rPr>
          <w:b/>
          <w:color w:val="9EC544" w:themeColor="accent1"/>
          <w:sz w:val="32"/>
          <w:lang w:val="es-ES"/>
        </w:rPr>
      </w:pPr>
      <w:r w:rsidRPr="00597FC0">
        <w:rPr>
          <w:b/>
          <w:color w:val="9EC544" w:themeColor="accent1"/>
          <w:sz w:val="28"/>
          <w:lang w:val="es-ES"/>
        </w:rPr>
        <w:t>El concepto de contrato reservado:</w:t>
      </w:r>
    </w:p>
    <w:p w14:paraId="1D3F9F70" w14:textId="774A9D65" w:rsidR="0039668E" w:rsidRPr="00514A40" w:rsidRDefault="00D435AA" w:rsidP="0039668E">
      <w:pPr>
        <w:spacing w:line="360" w:lineRule="auto"/>
        <w:jc w:val="both"/>
        <w:rPr>
          <w:sz w:val="22"/>
          <w:lang w:val="es-ES"/>
        </w:rPr>
      </w:pPr>
      <w:r w:rsidRPr="00514A40">
        <w:rPr>
          <w:sz w:val="22"/>
          <w:lang w:val="es-ES"/>
        </w:rPr>
        <w:t xml:space="preserve">Las Directivas de contratación pública de 2014, afianzaron la posibilidad </w:t>
      </w:r>
      <w:r w:rsidR="00B32A33" w:rsidRPr="00514A40">
        <w:rPr>
          <w:sz w:val="22"/>
          <w:lang w:val="es-ES"/>
        </w:rPr>
        <w:t xml:space="preserve">– ya recogida en las Directivas de 2004 - </w:t>
      </w:r>
      <w:r w:rsidRPr="00514A40">
        <w:rPr>
          <w:sz w:val="22"/>
          <w:lang w:val="es-ES"/>
        </w:rPr>
        <w:t xml:space="preserve">de que las administraciones públicas pudieran reservar </w:t>
      </w:r>
      <w:r w:rsidR="0039668E" w:rsidRPr="00514A40">
        <w:rPr>
          <w:sz w:val="22"/>
          <w:lang w:val="es-ES"/>
        </w:rPr>
        <w:t>el derecho a participar en procesos de participación “a talleres protegidos y operadores económicos cuyo objetivo principal sea la integración social y profesional de personas discapacitadas o desfavorecidas o prever la ejecución de los contratos en el contexto de programas de empleo protegido a condición de que al menos el 30 % de los empleados de los talleres, los operadores económicos o los programas sean trabajadores discapacitados o desfavorecidos ”</w:t>
      </w:r>
      <w:r w:rsidR="0039668E" w:rsidRPr="00514A40">
        <w:rPr>
          <w:rStyle w:val="Refdenotaalpie"/>
          <w:sz w:val="22"/>
          <w:lang w:val="es-ES"/>
        </w:rPr>
        <w:footnoteReference w:id="1"/>
      </w:r>
      <w:r w:rsidR="0039668E" w:rsidRPr="00514A40">
        <w:rPr>
          <w:sz w:val="22"/>
          <w:lang w:val="es-ES"/>
        </w:rPr>
        <w:t>.</w:t>
      </w:r>
    </w:p>
    <w:p w14:paraId="035701F7" w14:textId="1E85F390" w:rsidR="00316FC0" w:rsidRDefault="004A6527" w:rsidP="0039668E">
      <w:pPr>
        <w:spacing w:line="360" w:lineRule="auto"/>
        <w:jc w:val="both"/>
        <w:rPr>
          <w:sz w:val="22"/>
          <w:lang w:val="es-ES"/>
        </w:rPr>
      </w:pPr>
      <w:r w:rsidRPr="00514A40">
        <w:rPr>
          <w:sz w:val="22"/>
          <w:lang w:val="es-ES"/>
        </w:rPr>
        <w:t xml:space="preserve">Ello supone que una parte de la contratación </w:t>
      </w:r>
      <w:r w:rsidR="009943B0" w:rsidRPr="00514A40">
        <w:rPr>
          <w:sz w:val="22"/>
          <w:lang w:val="es-ES"/>
        </w:rPr>
        <w:t xml:space="preserve">se </w:t>
      </w:r>
      <w:r w:rsidRPr="00514A40">
        <w:rPr>
          <w:sz w:val="22"/>
          <w:lang w:val="es-ES"/>
        </w:rPr>
        <w:t xml:space="preserve">puede </w:t>
      </w:r>
      <w:r w:rsidR="009943B0" w:rsidRPr="00514A40">
        <w:rPr>
          <w:sz w:val="22"/>
          <w:lang w:val="es-ES"/>
        </w:rPr>
        <w:t>reservar</w:t>
      </w:r>
      <w:r w:rsidRPr="00514A40">
        <w:rPr>
          <w:sz w:val="22"/>
          <w:lang w:val="es-ES"/>
        </w:rPr>
        <w:t xml:space="preserve"> a una serie de operadores con un marcado carácter social y que cuentan entre sus objetivos la inserción de personas pertenecientes a colectivos en exclusión segú</w:t>
      </w:r>
      <w:r w:rsidR="001357D7" w:rsidRPr="00514A40">
        <w:rPr>
          <w:sz w:val="22"/>
          <w:lang w:val="es-ES"/>
        </w:rPr>
        <w:t xml:space="preserve">n se definen en el artículo 2 de la </w:t>
      </w:r>
      <w:r w:rsidRPr="00514A40">
        <w:rPr>
          <w:sz w:val="22"/>
          <w:lang w:val="es-ES"/>
        </w:rPr>
        <w:t>ley</w:t>
      </w:r>
      <w:r w:rsidR="001357D7" w:rsidRPr="00514A40">
        <w:rPr>
          <w:sz w:val="22"/>
          <w:lang w:val="es-ES"/>
        </w:rPr>
        <w:t xml:space="preserve"> 44/2007 de 13 de diciembre, para la regulación del régim</w:t>
      </w:r>
      <w:r w:rsidR="00D76728" w:rsidRPr="00514A40">
        <w:rPr>
          <w:sz w:val="22"/>
          <w:lang w:val="es-ES"/>
        </w:rPr>
        <w:t xml:space="preserve">en de las empresas de inserción y </w:t>
      </w:r>
      <w:r w:rsidR="00316FC0" w:rsidRPr="00514A40">
        <w:rPr>
          <w:sz w:val="22"/>
          <w:lang w:val="es-ES"/>
        </w:rPr>
        <w:t>las personas minusválidas físicas, psíquicas y sensoriales, definidas en el artículo 7.º de la Ley 13/1982, de 7 de abril, de integración social de los minusválidos</w:t>
      </w:r>
      <w:r w:rsidR="00514A40">
        <w:rPr>
          <w:sz w:val="22"/>
          <w:lang w:val="es-ES"/>
        </w:rPr>
        <w:t>.</w:t>
      </w:r>
    </w:p>
    <w:p w14:paraId="16F1F606" w14:textId="7DFACCBA" w:rsidR="00597FC0" w:rsidRDefault="00514A40" w:rsidP="00514A40">
      <w:pPr>
        <w:spacing w:line="360" w:lineRule="auto"/>
        <w:jc w:val="both"/>
        <w:rPr>
          <w:b/>
          <w:color w:val="9EC544" w:themeColor="accent1"/>
          <w:sz w:val="28"/>
          <w:lang w:val="es-ES"/>
        </w:rPr>
      </w:pPr>
      <w:r>
        <w:rPr>
          <w:sz w:val="22"/>
          <w:lang w:val="es-ES"/>
        </w:rPr>
        <w:t>En esta guía nos centraremos en los contratos reservados que se derivan de ese artículo 20 de la Directiva y no se analizarán las posibilidades del artículo 77 para las empresas del Tercer Sector de Acción Social.</w:t>
      </w:r>
    </w:p>
    <w:p w14:paraId="38B7E037" w14:textId="1C021525" w:rsidR="0039668E" w:rsidRPr="00597FC0" w:rsidRDefault="0039668E" w:rsidP="00597FC0">
      <w:pPr>
        <w:spacing w:line="240" w:lineRule="auto"/>
        <w:rPr>
          <w:b/>
          <w:color w:val="9EC544" w:themeColor="accent1"/>
          <w:sz w:val="28"/>
          <w:lang w:val="es-ES"/>
        </w:rPr>
      </w:pPr>
      <w:r w:rsidRPr="00597FC0">
        <w:rPr>
          <w:b/>
          <w:color w:val="9EC544" w:themeColor="accent1"/>
          <w:sz w:val="28"/>
          <w:lang w:val="es-ES"/>
        </w:rPr>
        <w:t>El concepto de reserva de mercado</w:t>
      </w:r>
    </w:p>
    <w:p w14:paraId="7D661D51" w14:textId="6E8B2DD7" w:rsidR="00A535BE" w:rsidRPr="00514A40" w:rsidRDefault="00A535BE" w:rsidP="0039668E">
      <w:pPr>
        <w:spacing w:line="360" w:lineRule="auto"/>
        <w:jc w:val="both"/>
        <w:rPr>
          <w:sz w:val="22"/>
          <w:lang w:val="es-ES"/>
        </w:rPr>
      </w:pPr>
      <w:r w:rsidRPr="00514A40">
        <w:rPr>
          <w:sz w:val="22"/>
          <w:lang w:val="es-ES"/>
        </w:rPr>
        <w:t xml:space="preserve">La reserva de mercado no responde a una definición legal sino a un concepto estratégico donde una administración pública decide reservar una parte de su contratación - bien mediante el establecimiento de un porcentaje en el número de contratos o mediante el establecimiento de una cantidad fija – para favorecer el desarrollo y consolidación de entidades sociales que entren dentro de las características que se fijan en la disposición adicional quinta del Real Decreto </w:t>
      </w:r>
      <w:r w:rsidRPr="00514A40">
        <w:rPr>
          <w:sz w:val="22"/>
          <w:lang w:val="es-ES"/>
        </w:rPr>
        <w:lastRenderedPageBreak/>
        <w:t>Legislativo 3/2011. Esto es, las empresas de inserción, los centros especiales de empleo y los programas de empleo protegido.</w:t>
      </w:r>
    </w:p>
    <w:p w14:paraId="254E1302" w14:textId="5BBB2CDE" w:rsidR="0039668E" w:rsidRDefault="0039668E" w:rsidP="00597FC0">
      <w:pPr>
        <w:rPr>
          <w:b/>
          <w:color w:val="9EC544" w:themeColor="accent1"/>
          <w:sz w:val="28"/>
          <w:lang w:val="es-ES"/>
        </w:rPr>
      </w:pPr>
      <w:r w:rsidRPr="00597FC0">
        <w:rPr>
          <w:b/>
          <w:color w:val="9EC544" w:themeColor="accent1"/>
          <w:sz w:val="28"/>
          <w:lang w:val="es-ES"/>
        </w:rPr>
        <w:t>¿Tienen algún límite de cantidad los contratos reservados?</w:t>
      </w:r>
    </w:p>
    <w:p w14:paraId="54F81924" w14:textId="2D0434B3" w:rsidR="00D44E64" w:rsidRPr="00514A40" w:rsidRDefault="00A535BE" w:rsidP="0039668E">
      <w:pPr>
        <w:spacing w:line="360" w:lineRule="auto"/>
        <w:jc w:val="both"/>
        <w:rPr>
          <w:sz w:val="22"/>
          <w:lang w:val="es-ES"/>
        </w:rPr>
      </w:pPr>
      <w:r w:rsidRPr="00514A40">
        <w:rPr>
          <w:b/>
          <w:sz w:val="22"/>
          <w:lang w:val="es-ES"/>
        </w:rPr>
        <w:t xml:space="preserve">No, </w:t>
      </w:r>
      <w:r w:rsidRPr="00514A40">
        <w:rPr>
          <w:sz w:val="22"/>
          <w:lang w:val="es-ES"/>
        </w:rPr>
        <w:t>e</w:t>
      </w:r>
      <w:r w:rsidR="00D44E64" w:rsidRPr="00514A40">
        <w:rPr>
          <w:sz w:val="22"/>
          <w:lang w:val="es-ES"/>
        </w:rPr>
        <w:t xml:space="preserve">l Real Decreto Legislativo 3/2011, en su disposición adicional 5ª </w:t>
      </w:r>
      <w:r w:rsidRPr="00514A40">
        <w:rPr>
          <w:sz w:val="22"/>
          <w:lang w:val="es-ES"/>
        </w:rPr>
        <w:t>se limita a señalar</w:t>
      </w:r>
      <w:r w:rsidR="00D44E64" w:rsidRPr="00514A40">
        <w:rPr>
          <w:sz w:val="22"/>
          <w:lang w:val="es-ES"/>
        </w:rPr>
        <w:t xml:space="preserve"> que “</w:t>
      </w:r>
      <w:r w:rsidR="00D44E64" w:rsidRPr="00514A40">
        <w:rPr>
          <w:rFonts w:hint="eastAsia"/>
          <w:sz w:val="22"/>
          <w:lang w:val="es-ES"/>
        </w:rPr>
        <w:t>se fijarán porcentajes mínimos de reserva del derecho a participar en los procedimientos de adjudicación de determinados contratos o de determinados lotes de los mismos</w:t>
      </w:r>
      <w:r w:rsidR="00D44E64" w:rsidRPr="00514A40">
        <w:rPr>
          <w:sz w:val="22"/>
          <w:lang w:val="es-ES"/>
        </w:rPr>
        <w:t xml:space="preserve">”. Sin embargo, no se regulan en particular ni los sectores a reservar ni las cantidades. </w:t>
      </w:r>
      <w:r w:rsidRPr="00514A40">
        <w:rPr>
          <w:sz w:val="22"/>
          <w:lang w:val="es-ES"/>
        </w:rPr>
        <w:t>Por lo tanto, queda a la elección de cada administración pública la cantidad que quiera destinar a este concepto, no existiendo un límite ni superior ni inferior para ello, que depende de la voluntad política de cada institución.</w:t>
      </w:r>
    </w:p>
    <w:p w14:paraId="6E1F14CE" w14:textId="5D52D8BE" w:rsidR="005E50A4" w:rsidRPr="00597FC0" w:rsidRDefault="0039668E" w:rsidP="00597FC0">
      <w:pPr>
        <w:spacing w:line="240" w:lineRule="auto"/>
        <w:rPr>
          <w:b/>
          <w:color w:val="9EC544" w:themeColor="accent1"/>
          <w:sz w:val="28"/>
          <w:lang w:val="es-ES"/>
        </w:rPr>
      </w:pPr>
      <w:r w:rsidRPr="00597FC0">
        <w:rPr>
          <w:b/>
          <w:color w:val="9EC544" w:themeColor="accent1"/>
          <w:sz w:val="28"/>
          <w:lang w:val="es-ES"/>
        </w:rPr>
        <w:t>¿Tienen algún límite sectorial los contratos reservados?</w:t>
      </w:r>
    </w:p>
    <w:p w14:paraId="4EC20525" w14:textId="370AC1FA" w:rsidR="005E50A4" w:rsidRPr="00514A40" w:rsidRDefault="00A535BE" w:rsidP="0039668E">
      <w:pPr>
        <w:spacing w:line="360" w:lineRule="auto"/>
        <w:jc w:val="both"/>
        <w:rPr>
          <w:sz w:val="22"/>
          <w:lang w:val="es-ES"/>
        </w:rPr>
      </w:pPr>
      <w:r w:rsidRPr="00514A40">
        <w:rPr>
          <w:b/>
          <w:sz w:val="22"/>
          <w:lang w:val="es-ES"/>
        </w:rPr>
        <w:t xml:space="preserve">No, </w:t>
      </w:r>
      <w:r w:rsidRPr="00514A40">
        <w:rPr>
          <w:sz w:val="22"/>
          <w:lang w:val="es-ES"/>
        </w:rPr>
        <w:t>e</w:t>
      </w:r>
      <w:r w:rsidR="005E50A4" w:rsidRPr="00514A40">
        <w:rPr>
          <w:sz w:val="22"/>
          <w:lang w:val="es-ES"/>
        </w:rPr>
        <w:t>n ninguna de las legislaciones mencionadas aparece limitación sectorial para aplicar los contratos reservados. La propia Directiva 23/2014/UE extiende este tipo de contratos a las concesiones en su artículo 24 y establece las mismas condiciones que el artículo 20 de la Directiva 24/2014/UE.</w:t>
      </w:r>
    </w:p>
    <w:p w14:paraId="71CCE8BC" w14:textId="2C1C7153" w:rsidR="005E50A4" w:rsidRPr="00514A40" w:rsidRDefault="005E50A4" w:rsidP="0039668E">
      <w:pPr>
        <w:spacing w:line="360" w:lineRule="auto"/>
        <w:jc w:val="both"/>
        <w:rPr>
          <w:sz w:val="22"/>
          <w:lang w:val="es-ES"/>
        </w:rPr>
      </w:pPr>
      <w:r w:rsidRPr="00514A40">
        <w:rPr>
          <w:sz w:val="22"/>
          <w:lang w:val="es-ES"/>
        </w:rPr>
        <w:t xml:space="preserve">Los límites en este caso suelen venir dados por la actividad que realicen las propias organizaciones beneficiarias – esto es las empresas de inserción y los centros especiales de empleo – y por las actividades que </w:t>
      </w:r>
      <w:r w:rsidR="0083386D" w:rsidRPr="00514A40">
        <w:rPr>
          <w:sz w:val="22"/>
          <w:lang w:val="es-ES"/>
        </w:rPr>
        <w:t xml:space="preserve">la entidad pública quiera reservar. </w:t>
      </w:r>
    </w:p>
    <w:p w14:paraId="7FB9BC24" w14:textId="217ED864" w:rsidR="00D44E64" w:rsidRPr="00514A40" w:rsidRDefault="00D44E64" w:rsidP="0039668E">
      <w:pPr>
        <w:spacing w:line="360" w:lineRule="auto"/>
        <w:jc w:val="both"/>
        <w:rPr>
          <w:sz w:val="22"/>
          <w:lang w:val="es-ES"/>
        </w:rPr>
      </w:pPr>
      <w:r w:rsidRPr="00514A40">
        <w:rPr>
          <w:sz w:val="22"/>
          <w:lang w:val="es-ES"/>
        </w:rPr>
        <w:t>Como se especificó, la citada disposición</w:t>
      </w:r>
      <w:r w:rsidR="00A535BE" w:rsidRPr="00514A40">
        <w:rPr>
          <w:sz w:val="22"/>
          <w:lang w:val="es-ES"/>
        </w:rPr>
        <w:t xml:space="preserve"> adicional quinta</w:t>
      </w:r>
      <w:r w:rsidRPr="00514A40">
        <w:rPr>
          <w:sz w:val="22"/>
          <w:lang w:val="es-ES"/>
        </w:rPr>
        <w:t xml:space="preserve"> no establece ningún sector concreto que se deba regular. </w:t>
      </w:r>
      <w:r w:rsidR="00A535BE" w:rsidRPr="00514A40">
        <w:rPr>
          <w:sz w:val="22"/>
          <w:lang w:val="es-ES"/>
        </w:rPr>
        <w:t>En la legislación municipal y autonómica si existen ejemplos de sectores concretos que se regulan (ver Anexo I)</w:t>
      </w:r>
    </w:p>
    <w:p w14:paraId="189E4EC0" w14:textId="1F779F02" w:rsidR="00642938" w:rsidRPr="00597FC0" w:rsidRDefault="00642938" w:rsidP="00597FC0">
      <w:pPr>
        <w:spacing w:line="240" w:lineRule="auto"/>
        <w:rPr>
          <w:b/>
          <w:color w:val="9EC544" w:themeColor="accent1"/>
          <w:sz w:val="28"/>
          <w:lang w:val="es-ES"/>
        </w:rPr>
      </w:pPr>
      <w:r w:rsidRPr="00597FC0">
        <w:rPr>
          <w:b/>
          <w:color w:val="9EC544" w:themeColor="accent1"/>
          <w:sz w:val="28"/>
          <w:lang w:val="es-ES"/>
        </w:rPr>
        <w:t>¿Qué tipo de contrato puede ser reservado?</w:t>
      </w:r>
    </w:p>
    <w:p w14:paraId="6EE3056B" w14:textId="0649EEF8" w:rsidR="00642938" w:rsidRPr="00514A40" w:rsidRDefault="00642938" w:rsidP="0039668E">
      <w:pPr>
        <w:spacing w:line="360" w:lineRule="auto"/>
        <w:jc w:val="both"/>
        <w:rPr>
          <w:sz w:val="22"/>
          <w:lang w:val="es-ES"/>
        </w:rPr>
      </w:pPr>
      <w:r w:rsidRPr="00514A40">
        <w:rPr>
          <w:b/>
          <w:sz w:val="22"/>
          <w:lang w:val="es-ES"/>
        </w:rPr>
        <w:t>Cualquiera</w:t>
      </w:r>
      <w:r w:rsidR="00A535BE" w:rsidRPr="00514A40">
        <w:rPr>
          <w:b/>
          <w:sz w:val="22"/>
          <w:lang w:val="es-ES"/>
        </w:rPr>
        <w:t xml:space="preserve">, </w:t>
      </w:r>
      <w:r w:rsidR="00A535BE" w:rsidRPr="00514A40">
        <w:rPr>
          <w:sz w:val="22"/>
          <w:lang w:val="es-ES"/>
        </w:rPr>
        <w:t>tomando como ejemplo los pliegos de condiciones que establece el Gobierno de Canarias, todas las categorías podrían calificarse como contrato reservado. Lógicamente, dependerá de</w:t>
      </w:r>
      <w:r w:rsidR="009943B0" w:rsidRPr="00514A40">
        <w:rPr>
          <w:sz w:val="22"/>
          <w:lang w:val="es-ES"/>
        </w:rPr>
        <w:t xml:space="preserve"> la naturaleza y el tamaño de los posibles concurrentes</w:t>
      </w:r>
      <w:r w:rsidR="00AB621D" w:rsidRPr="00514A40">
        <w:rPr>
          <w:sz w:val="22"/>
          <w:lang w:val="es-ES"/>
        </w:rPr>
        <w:t>, pero tanto un pliego de obras por procedimiento abierto como procedimiento de servicios negociado con publicidad</w:t>
      </w:r>
      <w:r w:rsidR="002853B3" w:rsidRPr="00514A40">
        <w:rPr>
          <w:sz w:val="22"/>
          <w:lang w:val="es-ES"/>
        </w:rPr>
        <w:t xml:space="preserve"> – por citar algunos – pueden calificarse como contratos reservados.</w:t>
      </w:r>
      <w:r w:rsidR="00A535BE" w:rsidRPr="00514A40">
        <w:rPr>
          <w:sz w:val="22"/>
          <w:lang w:val="es-ES"/>
        </w:rPr>
        <w:t xml:space="preserve"> </w:t>
      </w:r>
    </w:p>
    <w:p w14:paraId="01CCBA92" w14:textId="33CDD2D2" w:rsidR="00B32A33" w:rsidRPr="00597FC0" w:rsidRDefault="00B32A33" w:rsidP="00597FC0">
      <w:pPr>
        <w:spacing w:line="240" w:lineRule="auto"/>
        <w:rPr>
          <w:b/>
          <w:color w:val="9EC544" w:themeColor="accent1"/>
          <w:sz w:val="28"/>
          <w:lang w:val="es-ES"/>
        </w:rPr>
      </w:pPr>
      <w:r w:rsidRPr="00597FC0">
        <w:rPr>
          <w:b/>
          <w:color w:val="9EC544" w:themeColor="accent1"/>
          <w:sz w:val="28"/>
          <w:lang w:val="es-ES"/>
        </w:rPr>
        <w:lastRenderedPageBreak/>
        <w:t>¿Qué diferencias hay entre un contrato reservado y un contrato normal?</w:t>
      </w:r>
    </w:p>
    <w:p w14:paraId="046FE06A" w14:textId="595539B1" w:rsidR="00B32A33" w:rsidRPr="00514A40" w:rsidRDefault="009943B0" w:rsidP="0039668E">
      <w:pPr>
        <w:spacing w:line="360" w:lineRule="auto"/>
        <w:jc w:val="both"/>
        <w:rPr>
          <w:sz w:val="22"/>
          <w:lang w:val="es-ES"/>
        </w:rPr>
      </w:pPr>
      <w:r w:rsidRPr="00514A40">
        <w:rPr>
          <w:sz w:val="22"/>
          <w:lang w:val="es-ES"/>
        </w:rPr>
        <w:t xml:space="preserve">El procedimiento para un contrato reservado es, administrativamente, </w:t>
      </w:r>
      <w:r w:rsidRPr="00514A40">
        <w:rPr>
          <w:b/>
          <w:sz w:val="22"/>
          <w:lang w:val="es-ES"/>
        </w:rPr>
        <w:t xml:space="preserve">exactamente igual que un contrato </w:t>
      </w:r>
      <w:r w:rsidRPr="00514A40">
        <w:rPr>
          <w:sz w:val="22"/>
          <w:lang w:val="es-ES"/>
        </w:rPr>
        <w:t xml:space="preserve">ordinario. </w:t>
      </w:r>
      <w:r w:rsidR="00642938" w:rsidRPr="00514A40">
        <w:rPr>
          <w:sz w:val="22"/>
          <w:lang w:val="es-ES"/>
        </w:rPr>
        <w:t xml:space="preserve">En la práctica, </w:t>
      </w:r>
      <w:r w:rsidRPr="00514A40">
        <w:rPr>
          <w:sz w:val="22"/>
          <w:lang w:val="es-ES"/>
        </w:rPr>
        <w:t xml:space="preserve">existen </w:t>
      </w:r>
      <w:r w:rsidR="00642938" w:rsidRPr="00514A40">
        <w:rPr>
          <w:sz w:val="22"/>
          <w:lang w:val="es-ES"/>
        </w:rPr>
        <w:t>muy pocas</w:t>
      </w:r>
      <w:r w:rsidRPr="00514A40">
        <w:rPr>
          <w:sz w:val="22"/>
          <w:lang w:val="es-ES"/>
        </w:rPr>
        <w:t xml:space="preserve"> diferencias, siendo las principales </w:t>
      </w:r>
      <w:r w:rsidR="00642938" w:rsidRPr="00514A40">
        <w:rPr>
          <w:sz w:val="22"/>
          <w:lang w:val="es-ES"/>
        </w:rPr>
        <w:t xml:space="preserve">el nombre que se le debe dar al contrato y la </w:t>
      </w:r>
      <w:r w:rsidR="002853B3" w:rsidRPr="00514A40">
        <w:rPr>
          <w:sz w:val="22"/>
          <w:lang w:val="es-ES"/>
        </w:rPr>
        <w:t>inclusión de una serie de características que los concurrentes deben cumplir. En el caso de las empresas de inserción, deben demostrar que están constituidas conforme a la ley 44/2007 (o el Real Decreto 137/2009 en el caso de Canarias).</w:t>
      </w:r>
    </w:p>
    <w:p w14:paraId="3A31CE8B" w14:textId="660F1E37" w:rsidR="00642938" w:rsidRPr="00514A40" w:rsidRDefault="00642938" w:rsidP="00597FC0">
      <w:pPr>
        <w:spacing w:line="240" w:lineRule="auto"/>
        <w:rPr>
          <w:b/>
          <w:color w:val="9EC544" w:themeColor="accent1"/>
          <w:sz w:val="32"/>
          <w:lang w:val="es-ES"/>
        </w:rPr>
      </w:pPr>
      <w:r w:rsidRPr="00514A40">
        <w:rPr>
          <w:b/>
          <w:color w:val="9EC544" w:themeColor="accent1"/>
          <w:sz w:val="32"/>
          <w:lang w:val="es-ES"/>
        </w:rPr>
        <w:t>¿Es obligatoria su aplicación?</w:t>
      </w:r>
    </w:p>
    <w:p w14:paraId="4282C7B6" w14:textId="42551B2A" w:rsidR="00642938" w:rsidRPr="00514A40" w:rsidRDefault="00642938" w:rsidP="0039668E">
      <w:pPr>
        <w:spacing w:line="360" w:lineRule="auto"/>
        <w:jc w:val="both"/>
        <w:rPr>
          <w:sz w:val="22"/>
          <w:lang w:val="es-ES"/>
        </w:rPr>
      </w:pPr>
      <w:r w:rsidRPr="00514A40">
        <w:rPr>
          <w:b/>
          <w:sz w:val="22"/>
          <w:lang w:val="es-ES"/>
        </w:rPr>
        <w:t>Sí</w:t>
      </w:r>
      <w:r w:rsidRPr="00514A40">
        <w:rPr>
          <w:sz w:val="22"/>
          <w:lang w:val="es-ES"/>
        </w:rPr>
        <w:t xml:space="preserve">, </w:t>
      </w:r>
      <w:r w:rsidR="00CB6F02" w:rsidRPr="00514A40">
        <w:rPr>
          <w:sz w:val="22"/>
          <w:lang w:val="es-ES"/>
        </w:rPr>
        <w:t>el Real Decreto 3/2011 así lo establece</w:t>
      </w:r>
      <w:r w:rsidR="00CC2111" w:rsidRPr="00514A40">
        <w:rPr>
          <w:sz w:val="22"/>
          <w:lang w:val="es-ES"/>
        </w:rPr>
        <w:t>. Si bien no se fija una cantidad mínima, la interpretación de la disposición adicional quinta sí parece dejar claro que cada administración debería establecer unos porcentajes de reserva de mercado para las administraciones de tipo social.</w:t>
      </w:r>
    </w:p>
    <w:p w14:paraId="5510909F" w14:textId="5891A5C0" w:rsidR="00642938" w:rsidRPr="00597FC0" w:rsidRDefault="00642938" w:rsidP="00597FC0">
      <w:pPr>
        <w:spacing w:line="240" w:lineRule="auto"/>
        <w:rPr>
          <w:b/>
          <w:color w:val="9EC544" w:themeColor="accent1"/>
          <w:sz w:val="28"/>
          <w:lang w:val="es-ES"/>
        </w:rPr>
      </w:pPr>
      <w:r w:rsidRPr="00597FC0">
        <w:rPr>
          <w:b/>
          <w:color w:val="9EC544" w:themeColor="accent1"/>
          <w:sz w:val="28"/>
          <w:lang w:val="es-ES"/>
        </w:rPr>
        <w:t>¿Qué pasa con la libre competencia?</w:t>
      </w:r>
    </w:p>
    <w:p w14:paraId="618EB139" w14:textId="2403FFAE" w:rsidR="00642938" w:rsidRPr="00514A40" w:rsidRDefault="00CC2111" w:rsidP="0039668E">
      <w:pPr>
        <w:spacing w:line="360" w:lineRule="auto"/>
        <w:jc w:val="both"/>
        <w:rPr>
          <w:sz w:val="22"/>
          <w:lang w:val="es-ES"/>
        </w:rPr>
      </w:pPr>
      <w:r w:rsidRPr="00514A40">
        <w:rPr>
          <w:sz w:val="22"/>
          <w:lang w:val="es-ES"/>
        </w:rPr>
        <w:t xml:space="preserve">La libre competencia sigue siendo el pilar fundamental de la legislación comunitaria y de la contratación pública. En este caso, lo único que se hace es especificar una categoría determinada de empresas que pueden acceder al contrato. Ello no quita para que se aplique la libre competencia entre ellas, quedando abierto el concurso a cualquier empresa que cumpla las condiciones al igual que en cualquier contrato ordinario. </w:t>
      </w:r>
    </w:p>
    <w:p w14:paraId="15E560E7" w14:textId="2C39E1D7" w:rsidR="00642938" w:rsidRPr="00514A40" w:rsidRDefault="00CC2111" w:rsidP="0039668E">
      <w:pPr>
        <w:spacing w:line="360" w:lineRule="auto"/>
        <w:jc w:val="both"/>
        <w:rPr>
          <w:b/>
          <w:sz w:val="22"/>
          <w:lang w:val="es-ES"/>
        </w:rPr>
      </w:pPr>
      <w:r w:rsidRPr="00514A40">
        <w:rPr>
          <w:sz w:val="22"/>
          <w:lang w:val="es-ES"/>
        </w:rPr>
        <w:t>Además, las condiciones de solvencia técnica y económica, y el resto que se establezcan en los pliegos, deben seguir cumpliéndose como en cualquier otro procedimiento.</w:t>
      </w:r>
    </w:p>
    <w:p w14:paraId="689A3698" w14:textId="02E79D4D" w:rsidR="005E50A4" w:rsidRPr="00597FC0" w:rsidRDefault="005E50A4" w:rsidP="00597FC0">
      <w:pPr>
        <w:spacing w:line="240" w:lineRule="auto"/>
        <w:rPr>
          <w:b/>
          <w:color w:val="9EC544" w:themeColor="accent1"/>
          <w:sz w:val="28"/>
          <w:lang w:val="es-ES"/>
        </w:rPr>
      </w:pPr>
      <w:r w:rsidRPr="00597FC0">
        <w:rPr>
          <w:b/>
          <w:color w:val="9EC544" w:themeColor="accent1"/>
          <w:sz w:val="28"/>
          <w:lang w:val="es-ES"/>
        </w:rPr>
        <w:t>Ventajas de los contratos reservados</w:t>
      </w:r>
    </w:p>
    <w:p w14:paraId="5DD824CD" w14:textId="74DD4589" w:rsidR="00D44E64" w:rsidRPr="00514A40" w:rsidRDefault="00D44E64" w:rsidP="0039668E">
      <w:pPr>
        <w:spacing w:line="360" w:lineRule="auto"/>
        <w:jc w:val="both"/>
        <w:rPr>
          <w:sz w:val="22"/>
          <w:lang w:val="es-ES"/>
        </w:rPr>
      </w:pPr>
      <w:r w:rsidRPr="00514A40">
        <w:rPr>
          <w:sz w:val="22"/>
          <w:lang w:val="es-ES"/>
        </w:rPr>
        <w:t>Se podrían resumir las ventajas de los contratos reservados en los siguientes puntos:</w:t>
      </w:r>
    </w:p>
    <w:p w14:paraId="7C303516" w14:textId="43B2BB86" w:rsidR="00D44E64" w:rsidRPr="00514A40" w:rsidRDefault="00D44E64" w:rsidP="00D44E64">
      <w:pPr>
        <w:pStyle w:val="Prrafodelista"/>
        <w:numPr>
          <w:ilvl w:val="0"/>
          <w:numId w:val="1"/>
        </w:numPr>
        <w:spacing w:line="360" w:lineRule="auto"/>
        <w:jc w:val="both"/>
        <w:rPr>
          <w:sz w:val="22"/>
          <w:lang w:val="es-ES"/>
        </w:rPr>
      </w:pPr>
      <w:r w:rsidRPr="00514A40">
        <w:rPr>
          <w:sz w:val="22"/>
          <w:lang w:val="es-ES"/>
        </w:rPr>
        <w:t>Tienen un respaldo legal consolidado tanto a nivel europeo como nacional</w:t>
      </w:r>
    </w:p>
    <w:p w14:paraId="5AE2A3CC" w14:textId="7096FD48" w:rsidR="00D44E64" w:rsidRPr="00514A40" w:rsidRDefault="00D44E64" w:rsidP="00D44E64">
      <w:pPr>
        <w:pStyle w:val="Prrafodelista"/>
        <w:numPr>
          <w:ilvl w:val="0"/>
          <w:numId w:val="1"/>
        </w:numPr>
        <w:spacing w:line="360" w:lineRule="auto"/>
        <w:jc w:val="both"/>
        <w:rPr>
          <w:sz w:val="22"/>
          <w:lang w:val="es-ES"/>
        </w:rPr>
      </w:pPr>
      <w:r w:rsidRPr="00514A40">
        <w:rPr>
          <w:sz w:val="22"/>
          <w:lang w:val="es-ES"/>
        </w:rPr>
        <w:t>Existen numerosos ejemplos a nivel autonómico y municipal que pueden tomarse en cuenta a la hora de empezar con ellos.</w:t>
      </w:r>
    </w:p>
    <w:p w14:paraId="7FC86DDA" w14:textId="2EF2119E" w:rsidR="005E50A4" w:rsidRPr="00514A40" w:rsidRDefault="00D44E64" w:rsidP="00974E5B">
      <w:pPr>
        <w:pStyle w:val="Prrafodelista"/>
        <w:numPr>
          <w:ilvl w:val="0"/>
          <w:numId w:val="1"/>
        </w:numPr>
        <w:spacing w:line="360" w:lineRule="auto"/>
        <w:jc w:val="both"/>
        <w:rPr>
          <w:sz w:val="22"/>
          <w:lang w:val="es-ES"/>
        </w:rPr>
      </w:pPr>
      <w:r w:rsidRPr="00514A40">
        <w:rPr>
          <w:sz w:val="22"/>
          <w:lang w:val="es-ES"/>
        </w:rPr>
        <w:lastRenderedPageBreak/>
        <w:t>Normalmente reducen el número de competidores – dado que lo limita a las empresas de inserción y centros especiales de empleo – reduciendo de esta manera la carga administrativa.</w:t>
      </w:r>
    </w:p>
    <w:p w14:paraId="24CB8676" w14:textId="5D80D9AF" w:rsidR="00D44E64" w:rsidRPr="00514A40" w:rsidRDefault="00D44E64" w:rsidP="00974E5B">
      <w:pPr>
        <w:pStyle w:val="Prrafodelista"/>
        <w:numPr>
          <w:ilvl w:val="0"/>
          <w:numId w:val="1"/>
        </w:numPr>
        <w:spacing w:line="360" w:lineRule="auto"/>
        <w:jc w:val="both"/>
        <w:rPr>
          <w:sz w:val="22"/>
          <w:lang w:val="es-ES"/>
        </w:rPr>
      </w:pPr>
      <w:r w:rsidRPr="00514A40">
        <w:rPr>
          <w:sz w:val="22"/>
          <w:lang w:val="es-ES"/>
        </w:rPr>
        <w:t>No supone ninguna disminución de las exigencias en cuanto a solvencia técnica y financiera. Los contratos reservados pueden llevar aparejado un pliego de condiciones similar, con las únicas diferencias en el nombre, y la referencia a la disposición adicional 5ª, y los requisitos de los participantes.</w:t>
      </w:r>
    </w:p>
    <w:p w14:paraId="4D05404E" w14:textId="1D6456AB" w:rsidR="00D44E64" w:rsidRPr="00514A40" w:rsidRDefault="00D44E64" w:rsidP="00974E5B">
      <w:pPr>
        <w:pStyle w:val="Prrafodelista"/>
        <w:numPr>
          <w:ilvl w:val="0"/>
          <w:numId w:val="1"/>
        </w:numPr>
        <w:spacing w:line="360" w:lineRule="auto"/>
        <w:jc w:val="both"/>
        <w:rPr>
          <w:sz w:val="22"/>
          <w:lang w:val="es-ES"/>
        </w:rPr>
      </w:pPr>
      <w:r w:rsidRPr="00514A40">
        <w:rPr>
          <w:sz w:val="22"/>
          <w:lang w:val="es-ES"/>
        </w:rPr>
        <w:t>Dado que los concurrentes son empresas de inserción y centros especiales de empleo, las empresas que participan serán, salvo contadas excepciones, del ámbito local, permitiendo un mayor impacto de la contratación pública en la región donde tenga lugar.</w:t>
      </w:r>
    </w:p>
    <w:p w14:paraId="1DDF5FA1" w14:textId="1DF04151" w:rsidR="00D44E64" w:rsidRPr="00514A40" w:rsidRDefault="00D44E64" w:rsidP="00974E5B">
      <w:pPr>
        <w:pStyle w:val="Prrafodelista"/>
        <w:numPr>
          <w:ilvl w:val="0"/>
          <w:numId w:val="1"/>
        </w:numPr>
        <w:spacing w:line="360" w:lineRule="auto"/>
        <w:jc w:val="both"/>
        <w:rPr>
          <w:sz w:val="22"/>
          <w:lang w:val="es-ES"/>
        </w:rPr>
      </w:pPr>
      <w:r w:rsidRPr="00514A40">
        <w:rPr>
          <w:sz w:val="22"/>
          <w:lang w:val="es-ES"/>
        </w:rPr>
        <w:t>Pueden producirse sinergias con otro tipo de políticas sociales – como las políticas de inserción – combinando programas de empleo y formación públicos con este tipo de contratos.</w:t>
      </w:r>
    </w:p>
    <w:p w14:paraId="119349E0" w14:textId="77777777" w:rsidR="00597FC0" w:rsidRDefault="00597FC0" w:rsidP="00597FC0">
      <w:pPr>
        <w:rPr>
          <w:b/>
          <w:color w:val="9EC544" w:themeColor="accent1"/>
          <w:sz w:val="28"/>
          <w:lang w:val="es-ES"/>
        </w:rPr>
      </w:pPr>
    </w:p>
    <w:p w14:paraId="45D1D54A" w14:textId="6670D474" w:rsidR="00D44E64" w:rsidRPr="00597FC0" w:rsidRDefault="00D44E64" w:rsidP="00597FC0">
      <w:pPr>
        <w:spacing w:line="240" w:lineRule="auto"/>
        <w:rPr>
          <w:b/>
          <w:color w:val="9EC544" w:themeColor="accent1"/>
          <w:sz w:val="28"/>
          <w:lang w:val="es-ES"/>
        </w:rPr>
      </w:pPr>
      <w:r w:rsidRPr="00597FC0">
        <w:rPr>
          <w:b/>
          <w:color w:val="9EC544" w:themeColor="accent1"/>
          <w:sz w:val="28"/>
          <w:lang w:val="es-ES"/>
        </w:rPr>
        <w:t>Desventajas de los contratos reservados:</w:t>
      </w:r>
    </w:p>
    <w:p w14:paraId="710DF17C" w14:textId="08E52078" w:rsidR="00D44E64" w:rsidRPr="00514A40" w:rsidRDefault="00D44E64" w:rsidP="00D44E64">
      <w:pPr>
        <w:spacing w:line="360" w:lineRule="auto"/>
        <w:jc w:val="both"/>
        <w:rPr>
          <w:sz w:val="22"/>
          <w:lang w:val="es-ES"/>
        </w:rPr>
      </w:pPr>
      <w:r w:rsidRPr="00514A40">
        <w:rPr>
          <w:sz w:val="22"/>
          <w:lang w:val="es-ES"/>
        </w:rPr>
        <w:t>La inclusión de contratos reservados puede llevar aparejada alguna desventaja como es:</w:t>
      </w:r>
    </w:p>
    <w:p w14:paraId="537BCA48" w14:textId="207BD5C5" w:rsidR="00D44E64" w:rsidRPr="00514A40" w:rsidRDefault="00D44E64" w:rsidP="00D44E64">
      <w:pPr>
        <w:pStyle w:val="Prrafodelista"/>
        <w:numPr>
          <w:ilvl w:val="0"/>
          <w:numId w:val="1"/>
        </w:numPr>
        <w:spacing w:line="360" w:lineRule="auto"/>
        <w:jc w:val="both"/>
        <w:rPr>
          <w:sz w:val="22"/>
          <w:lang w:val="es-ES"/>
        </w:rPr>
      </w:pPr>
      <w:r w:rsidRPr="00514A40">
        <w:rPr>
          <w:sz w:val="22"/>
          <w:lang w:val="es-ES"/>
        </w:rPr>
        <w:t xml:space="preserve">La limitación de sectores en los que pueda ser aplicado, dependiendo de las actividades de las empresas </w:t>
      </w:r>
      <w:r w:rsidR="004A6527" w:rsidRPr="00514A40">
        <w:rPr>
          <w:sz w:val="22"/>
          <w:lang w:val="es-ES"/>
        </w:rPr>
        <w:t>de inserción y los centros especiales de empleo</w:t>
      </w:r>
    </w:p>
    <w:p w14:paraId="49C4A86E" w14:textId="7689AB86" w:rsidR="004A6527" w:rsidRPr="00514A40" w:rsidRDefault="004A6527" w:rsidP="00D44E64">
      <w:pPr>
        <w:pStyle w:val="Prrafodelista"/>
        <w:numPr>
          <w:ilvl w:val="0"/>
          <w:numId w:val="1"/>
        </w:numPr>
        <w:spacing w:line="360" w:lineRule="auto"/>
        <w:jc w:val="both"/>
        <w:rPr>
          <w:sz w:val="22"/>
          <w:lang w:val="es-ES"/>
        </w:rPr>
      </w:pPr>
      <w:r w:rsidRPr="00514A40">
        <w:rPr>
          <w:sz w:val="22"/>
          <w:lang w:val="es-ES"/>
        </w:rPr>
        <w:t>Es necesaria una cierta formación para evitar errores en su aplicación.</w:t>
      </w:r>
    </w:p>
    <w:p w14:paraId="6D266F53" w14:textId="29A9750A" w:rsidR="004A6527" w:rsidRPr="00514A40" w:rsidRDefault="004A6527" w:rsidP="00D44E64">
      <w:pPr>
        <w:pStyle w:val="Prrafodelista"/>
        <w:numPr>
          <w:ilvl w:val="0"/>
          <w:numId w:val="1"/>
        </w:numPr>
        <w:spacing w:line="360" w:lineRule="auto"/>
        <w:jc w:val="both"/>
        <w:rPr>
          <w:sz w:val="22"/>
          <w:lang w:val="es-ES"/>
        </w:rPr>
      </w:pPr>
      <w:r w:rsidRPr="00514A40">
        <w:rPr>
          <w:sz w:val="22"/>
          <w:lang w:val="es-ES"/>
        </w:rPr>
        <w:t>Puede haber resistencias por parte de las empresas tradicionales que pueden ver minoradas sus posibilidades para participar en ciertos contratos.</w:t>
      </w:r>
    </w:p>
    <w:p w14:paraId="46AB6A94" w14:textId="086A4F11" w:rsidR="000F0B5A" w:rsidRPr="00597FC0" w:rsidRDefault="005F4F7D">
      <w:pPr>
        <w:rPr>
          <w:b/>
          <w:color w:val="9EC544" w:themeColor="accent1"/>
          <w:sz w:val="28"/>
          <w:lang w:val="es-ES"/>
        </w:rPr>
      </w:pPr>
      <w:r w:rsidRPr="00D435AA">
        <w:rPr>
          <w:b/>
          <w:lang w:val="es-ES"/>
        </w:rPr>
        <w:t xml:space="preserve"> </w:t>
      </w:r>
      <w:r w:rsidR="004A6527" w:rsidRPr="00597FC0">
        <w:rPr>
          <w:b/>
          <w:color w:val="9EC544" w:themeColor="accent1"/>
          <w:sz w:val="28"/>
          <w:lang w:val="es-ES"/>
        </w:rPr>
        <w:t>Las cifras en España:</w:t>
      </w:r>
    </w:p>
    <w:p w14:paraId="6193EAEB" w14:textId="77777777" w:rsidR="00302E7E" w:rsidRDefault="000F0B5A" w:rsidP="00302E7E">
      <w:pPr>
        <w:spacing w:line="360" w:lineRule="auto"/>
        <w:rPr>
          <w:lang w:val="es-ES"/>
        </w:rPr>
      </w:pPr>
      <w:r w:rsidRPr="00514A40">
        <w:rPr>
          <w:sz w:val="22"/>
          <w:lang w:val="es-ES"/>
        </w:rPr>
        <w:t>No existe un listado público exh</w:t>
      </w:r>
      <w:r w:rsidR="00302E7E" w:rsidRPr="00514A40">
        <w:rPr>
          <w:sz w:val="22"/>
          <w:lang w:val="es-ES"/>
        </w:rPr>
        <w:t>austivo de contratos reservados. El Foro de la Contratación Responsable, que tiene datos para los Centros Especiales de Empleo, si cuenta en su página web con un listado de aquellos contratos reservados celebrados hasta la fecha. Si bien dicha información es incompleta, si permite realizar un primer análisis de su impacto</w:t>
      </w:r>
      <w:r w:rsidR="00302E7E">
        <w:rPr>
          <w:lang w:val="es-ES"/>
        </w:rPr>
        <w:t>.</w:t>
      </w:r>
    </w:p>
    <w:p w14:paraId="19451AB8" w14:textId="77777777" w:rsidR="00597FC0" w:rsidRDefault="00597FC0">
      <w:pPr>
        <w:rPr>
          <w:i/>
          <w:lang w:val="es-ES"/>
        </w:rPr>
      </w:pPr>
      <w:r>
        <w:rPr>
          <w:i/>
          <w:lang w:val="es-ES"/>
        </w:rPr>
        <w:br w:type="page"/>
      </w:r>
    </w:p>
    <w:p w14:paraId="1EE52D70" w14:textId="3D1993BA" w:rsidR="000F0B5A" w:rsidRPr="00514A40" w:rsidRDefault="00302E7E" w:rsidP="00597FC0">
      <w:pPr>
        <w:spacing w:line="360" w:lineRule="auto"/>
        <w:jc w:val="center"/>
        <w:rPr>
          <w:i/>
          <w:sz w:val="22"/>
          <w:lang w:val="es-ES"/>
        </w:rPr>
      </w:pPr>
      <w:r w:rsidRPr="00514A40">
        <w:rPr>
          <w:i/>
          <w:sz w:val="22"/>
          <w:lang w:val="es-ES"/>
        </w:rPr>
        <w:lastRenderedPageBreak/>
        <w:t>Nº de contratos e importe por regiones:</w:t>
      </w:r>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069"/>
        <w:gridCol w:w="1722"/>
        <w:gridCol w:w="1971"/>
      </w:tblGrid>
      <w:tr w:rsidR="002167B2" w:rsidRPr="00514A40" w14:paraId="2005AA36" w14:textId="600C561E" w:rsidTr="00514A40">
        <w:trPr>
          <w:trHeight w:val="716"/>
          <w:jc w:val="center"/>
        </w:trPr>
        <w:tc>
          <w:tcPr>
            <w:tcW w:w="1742" w:type="dxa"/>
            <w:shd w:val="clear" w:color="D9E1F2" w:fill="D9E1F2"/>
            <w:noWrap/>
            <w:vAlign w:val="bottom"/>
            <w:hideMark/>
          </w:tcPr>
          <w:p w14:paraId="3F7FF8F5" w14:textId="77777777" w:rsidR="002167B2" w:rsidRPr="00514A40" w:rsidRDefault="002167B2" w:rsidP="000F7900">
            <w:pPr>
              <w:jc w:val="center"/>
              <w:rPr>
                <w:rFonts w:ascii="Calibri" w:eastAsia="Times New Roman" w:hAnsi="Calibri" w:cs="Times New Roman"/>
                <w:b/>
                <w:bCs/>
                <w:color w:val="000000"/>
                <w:sz w:val="22"/>
                <w:szCs w:val="22"/>
                <w:lang w:eastAsia="en-GB"/>
              </w:rPr>
            </w:pPr>
            <w:proofErr w:type="spellStart"/>
            <w:r w:rsidRPr="00514A40">
              <w:rPr>
                <w:rFonts w:ascii="Calibri" w:eastAsia="Times New Roman" w:hAnsi="Calibri" w:cs="Times New Roman"/>
                <w:b/>
                <w:bCs/>
                <w:color w:val="000000"/>
                <w:sz w:val="22"/>
                <w:szCs w:val="22"/>
                <w:lang w:eastAsia="en-GB"/>
              </w:rPr>
              <w:t>Región</w:t>
            </w:r>
            <w:proofErr w:type="spellEnd"/>
          </w:p>
        </w:tc>
        <w:tc>
          <w:tcPr>
            <w:tcW w:w="2069" w:type="dxa"/>
            <w:shd w:val="clear" w:color="D9E1F2" w:fill="D9E1F2"/>
            <w:noWrap/>
            <w:vAlign w:val="bottom"/>
            <w:hideMark/>
          </w:tcPr>
          <w:p w14:paraId="2B7EB55C" w14:textId="77777777" w:rsidR="002167B2" w:rsidRPr="00514A40" w:rsidRDefault="002167B2" w:rsidP="000F7900">
            <w:pPr>
              <w:jc w:val="center"/>
              <w:rPr>
                <w:rFonts w:ascii="Calibri" w:eastAsia="Times New Roman" w:hAnsi="Calibri" w:cs="Times New Roman"/>
                <w:b/>
                <w:bCs/>
                <w:color w:val="000000"/>
                <w:sz w:val="22"/>
                <w:szCs w:val="22"/>
                <w:lang w:eastAsia="en-GB"/>
              </w:rPr>
            </w:pPr>
            <w:proofErr w:type="spellStart"/>
            <w:r w:rsidRPr="00514A40">
              <w:rPr>
                <w:rFonts w:ascii="Calibri" w:eastAsia="Times New Roman" w:hAnsi="Calibri" w:cs="Times New Roman"/>
                <w:b/>
                <w:bCs/>
                <w:color w:val="000000"/>
                <w:sz w:val="22"/>
                <w:szCs w:val="22"/>
                <w:lang w:eastAsia="en-GB"/>
              </w:rPr>
              <w:t>Presupuesto</w:t>
            </w:r>
            <w:proofErr w:type="spellEnd"/>
          </w:p>
        </w:tc>
        <w:tc>
          <w:tcPr>
            <w:tcW w:w="1722" w:type="dxa"/>
            <w:shd w:val="clear" w:color="D9E1F2" w:fill="D9E1F2"/>
            <w:noWrap/>
            <w:vAlign w:val="bottom"/>
            <w:hideMark/>
          </w:tcPr>
          <w:p w14:paraId="3700428B" w14:textId="77777777" w:rsidR="002167B2" w:rsidRPr="00514A40" w:rsidRDefault="002167B2" w:rsidP="000F7900">
            <w:pPr>
              <w:jc w:val="center"/>
              <w:rPr>
                <w:rFonts w:ascii="Calibri" w:eastAsia="Times New Roman" w:hAnsi="Calibri" w:cs="Times New Roman"/>
                <w:b/>
                <w:bCs/>
                <w:color w:val="000000"/>
                <w:sz w:val="22"/>
                <w:szCs w:val="22"/>
                <w:lang w:eastAsia="en-GB"/>
              </w:rPr>
            </w:pPr>
            <w:r w:rsidRPr="00514A40">
              <w:rPr>
                <w:rFonts w:ascii="Calibri" w:eastAsia="Times New Roman" w:hAnsi="Calibri" w:cs="Times New Roman"/>
                <w:b/>
                <w:bCs/>
                <w:color w:val="000000"/>
                <w:sz w:val="22"/>
                <w:szCs w:val="22"/>
                <w:lang w:eastAsia="en-GB"/>
              </w:rPr>
              <w:t xml:space="preserve">Nº </w:t>
            </w:r>
            <w:proofErr w:type="spellStart"/>
            <w:r w:rsidRPr="00514A40">
              <w:rPr>
                <w:rFonts w:ascii="Calibri" w:eastAsia="Times New Roman" w:hAnsi="Calibri" w:cs="Times New Roman"/>
                <w:b/>
                <w:bCs/>
                <w:color w:val="000000"/>
                <w:sz w:val="22"/>
                <w:szCs w:val="22"/>
                <w:lang w:eastAsia="en-GB"/>
              </w:rPr>
              <w:t>contratos</w:t>
            </w:r>
            <w:proofErr w:type="spellEnd"/>
          </w:p>
        </w:tc>
        <w:tc>
          <w:tcPr>
            <w:tcW w:w="1971" w:type="dxa"/>
            <w:shd w:val="clear" w:color="D9E1F2" w:fill="D9E1F2"/>
          </w:tcPr>
          <w:p w14:paraId="5A878ACA" w14:textId="77777777" w:rsidR="002167B2" w:rsidRPr="00514A40" w:rsidRDefault="002167B2" w:rsidP="000F7900">
            <w:pPr>
              <w:jc w:val="center"/>
              <w:rPr>
                <w:rFonts w:ascii="Calibri" w:eastAsia="Times New Roman" w:hAnsi="Calibri" w:cs="Times New Roman"/>
                <w:b/>
                <w:bCs/>
                <w:color w:val="000000"/>
                <w:sz w:val="22"/>
                <w:szCs w:val="22"/>
                <w:lang w:eastAsia="en-GB"/>
              </w:rPr>
            </w:pPr>
          </w:p>
          <w:p w14:paraId="5450B947" w14:textId="1CA3FF58" w:rsidR="002167B2" w:rsidRPr="00514A40" w:rsidRDefault="002167B2" w:rsidP="000F7900">
            <w:pPr>
              <w:jc w:val="center"/>
              <w:rPr>
                <w:rFonts w:ascii="Calibri" w:eastAsia="Times New Roman" w:hAnsi="Calibri" w:cs="Times New Roman"/>
                <w:b/>
                <w:bCs/>
                <w:color w:val="000000"/>
                <w:sz w:val="22"/>
                <w:szCs w:val="22"/>
                <w:lang w:eastAsia="en-GB"/>
              </w:rPr>
            </w:pPr>
            <w:r w:rsidRPr="00514A40">
              <w:rPr>
                <w:rFonts w:ascii="Calibri" w:eastAsia="Times New Roman" w:hAnsi="Calibri" w:cs="Times New Roman"/>
                <w:b/>
                <w:bCs/>
                <w:color w:val="000000"/>
                <w:sz w:val="22"/>
                <w:szCs w:val="22"/>
                <w:lang w:eastAsia="en-GB"/>
              </w:rPr>
              <w:t>Media</w:t>
            </w:r>
          </w:p>
        </w:tc>
      </w:tr>
      <w:tr w:rsidR="002167B2" w:rsidRPr="00514A40" w14:paraId="77225F21" w14:textId="37E0C6B7" w:rsidTr="002167B2">
        <w:trPr>
          <w:trHeight w:val="300"/>
          <w:jc w:val="center"/>
        </w:trPr>
        <w:tc>
          <w:tcPr>
            <w:tcW w:w="1742" w:type="dxa"/>
            <w:shd w:val="clear" w:color="auto" w:fill="auto"/>
            <w:noWrap/>
            <w:vAlign w:val="bottom"/>
            <w:hideMark/>
          </w:tcPr>
          <w:p w14:paraId="145F99AF"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Andalucía</w:t>
            </w:r>
          </w:p>
        </w:tc>
        <w:tc>
          <w:tcPr>
            <w:tcW w:w="2069" w:type="dxa"/>
            <w:shd w:val="clear" w:color="auto" w:fill="auto"/>
            <w:noWrap/>
            <w:vAlign w:val="bottom"/>
            <w:hideMark/>
          </w:tcPr>
          <w:p w14:paraId="32978DAA"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€609.084,00</w:t>
            </w:r>
          </w:p>
        </w:tc>
        <w:tc>
          <w:tcPr>
            <w:tcW w:w="1722" w:type="dxa"/>
            <w:shd w:val="clear" w:color="auto" w:fill="auto"/>
            <w:noWrap/>
            <w:vAlign w:val="bottom"/>
            <w:hideMark/>
          </w:tcPr>
          <w:p w14:paraId="7B228A58"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3</w:t>
            </w:r>
          </w:p>
        </w:tc>
        <w:tc>
          <w:tcPr>
            <w:tcW w:w="1971" w:type="dxa"/>
            <w:vAlign w:val="bottom"/>
          </w:tcPr>
          <w:p w14:paraId="45341FDD" w14:textId="3B093612"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304.542 €</w:t>
            </w:r>
          </w:p>
        </w:tc>
      </w:tr>
      <w:tr w:rsidR="002167B2" w:rsidRPr="00514A40" w14:paraId="16E3ED38" w14:textId="7BB742C3" w:rsidTr="002167B2">
        <w:trPr>
          <w:trHeight w:val="300"/>
          <w:jc w:val="center"/>
        </w:trPr>
        <w:tc>
          <w:tcPr>
            <w:tcW w:w="1742" w:type="dxa"/>
            <w:shd w:val="clear" w:color="auto" w:fill="auto"/>
            <w:noWrap/>
            <w:vAlign w:val="bottom"/>
            <w:hideMark/>
          </w:tcPr>
          <w:p w14:paraId="7CA87D48"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Aragón</w:t>
            </w:r>
          </w:p>
        </w:tc>
        <w:tc>
          <w:tcPr>
            <w:tcW w:w="2069" w:type="dxa"/>
            <w:shd w:val="clear" w:color="auto" w:fill="auto"/>
            <w:noWrap/>
            <w:vAlign w:val="bottom"/>
            <w:hideMark/>
          </w:tcPr>
          <w:p w14:paraId="66DB1C94"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€288.756,00</w:t>
            </w:r>
          </w:p>
        </w:tc>
        <w:tc>
          <w:tcPr>
            <w:tcW w:w="1722" w:type="dxa"/>
            <w:shd w:val="clear" w:color="auto" w:fill="auto"/>
            <w:noWrap/>
            <w:vAlign w:val="bottom"/>
            <w:hideMark/>
          </w:tcPr>
          <w:p w14:paraId="7EE4497B"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6</w:t>
            </w:r>
          </w:p>
        </w:tc>
        <w:tc>
          <w:tcPr>
            <w:tcW w:w="1971" w:type="dxa"/>
            <w:vAlign w:val="bottom"/>
          </w:tcPr>
          <w:p w14:paraId="40893F1B" w14:textId="6B6C1C9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57.751 €</w:t>
            </w:r>
          </w:p>
        </w:tc>
      </w:tr>
      <w:tr w:rsidR="002167B2" w:rsidRPr="00514A40" w14:paraId="761C8095" w14:textId="6C46C9D8" w:rsidTr="002167B2">
        <w:trPr>
          <w:trHeight w:val="376"/>
          <w:jc w:val="center"/>
        </w:trPr>
        <w:tc>
          <w:tcPr>
            <w:tcW w:w="1742" w:type="dxa"/>
            <w:shd w:val="clear" w:color="auto" w:fill="auto"/>
            <w:noWrap/>
            <w:vAlign w:val="bottom"/>
            <w:hideMark/>
          </w:tcPr>
          <w:p w14:paraId="411048CC"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Asturias</w:t>
            </w:r>
          </w:p>
        </w:tc>
        <w:tc>
          <w:tcPr>
            <w:tcW w:w="2069" w:type="dxa"/>
            <w:shd w:val="clear" w:color="auto" w:fill="auto"/>
            <w:noWrap/>
            <w:vAlign w:val="bottom"/>
            <w:hideMark/>
          </w:tcPr>
          <w:p w14:paraId="28C59094"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€0,00</w:t>
            </w:r>
          </w:p>
        </w:tc>
        <w:tc>
          <w:tcPr>
            <w:tcW w:w="1722" w:type="dxa"/>
            <w:shd w:val="clear" w:color="auto" w:fill="auto"/>
            <w:noWrap/>
            <w:vAlign w:val="bottom"/>
            <w:hideMark/>
          </w:tcPr>
          <w:p w14:paraId="3E4848C5"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w:t>
            </w:r>
          </w:p>
        </w:tc>
        <w:tc>
          <w:tcPr>
            <w:tcW w:w="1971" w:type="dxa"/>
            <w:vAlign w:val="bottom"/>
          </w:tcPr>
          <w:p w14:paraId="72BA57E8" w14:textId="2D91B4B5"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 </w:t>
            </w:r>
          </w:p>
        </w:tc>
      </w:tr>
      <w:tr w:rsidR="002167B2" w:rsidRPr="00514A40" w14:paraId="7C338E10" w14:textId="71CB439C" w:rsidTr="002167B2">
        <w:trPr>
          <w:trHeight w:val="300"/>
          <w:jc w:val="center"/>
        </w:trPr>
        <w:tc>
          <w:tcPr>
            <w:tcW w:w="1742" w:type="dxa"/>
            <w:shd w:val="clear" w:color="auto" w:fill="auto"/>
            <w:noWrap/>
            <w:vAlign w:val="bottom"/>
            <w:hideMark/>
          </w:tcPr>
          <w:p w14:paraId="3E7DDE39"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Cantabria</w:t>
            </w:r>
          </w:p>
        </w:tc>
        <w:tc>
          <w:tcPr>
            <w:tcW w:w="2069" w:type="dxa"/>
            <w:shd w:val="clear" w:color="auto" w:fill="auto"/>
            <w:noWrap/>
            <w:vAlign w:val="bottom"/>
            <w:hideMark/>
          </w:tcPr>
          <w:p w14:paraId="7DC3018D"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€482.140,00</w:t>
            </w:r>
          </w:p>
        </w:tc>
        <w:tc>
          <w:tcPr>
            <w:tcW w:w="1722" w:type="dxa"/>
            <w:shd w:val="clear" w:color="auto" w:fill="auto"/>
            <w:noWrap/>
            <w:vAlign w:val="bottom"/>
            <w:hideMark/>
          </w:tcPr>
          <w:p w14:paraId="3D1F7E0D"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3</w:t>
            </w:r>
          </w:p>
        </w:tc>
        <w:tc>
          <w:tcPr>
            <w:tcW w:w="1971" w:type="dxa"/>
            <w:vAlign w:val="bottom"/>
          </w:tcPr>
          <w:p w14:paraId="1DED99E8" w14:textId="49CE544D"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160.713 €</w:t>
            </w:r>
          </w:p>
        </w:tc>
      </w:tr>
      <w:tr w:rsidR="002167B2" w:rsidRPr="00514A40" w14:paraId="2F413FE7" w14:textId="3F3611DA" w:rsidTr="002167B2">
        <w:trPr>
          <w:trHeight w:val="300"/>
          <w:jc w:val="center"/>
        </w:trPr>
        <w:tc>
          <w:tcPr>
            <w:tcW w:w="1742" w:type="dxa"/>
            <w:shd w:val="clear" w:color="auto" w:fill="auto"/>
            <w:noWrap/>
            <w:vAlign w:val="bottom"/>
            <w:hideMark/>
          </w:tcPr>
          <w:p w14:paraId="60DDF7BE"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Castilla La Mancha</w:t>
            </w:r>
          </w:p>
        </w:tc>
        <w:tc>
          <w:tcPr>
            <w:tcW w:w="2069" w:type="dxa"/>
            <w:shd w:val="clear" w:color="auto" w:fill="auto"/>
            <w:noWrap/>
            <w:vAlign w:val="bottom"/>
            <w:hideMark/>
          </w:tcPr>
          <w:p w14:paraId="3E761EA6"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€255.780,00</w:t>
            </w:r>
          </w:p>
        </w:tc>
        <w:tc>
          <w:tcPr>
            <w:tcW w:w="1722" w:type="dxa"/>
            <w:shd w:val="clear" w:color="auto" w:fill="auto"/>
            <w:noWrap/>
            <w:vAlign w:val="bottom"/>
            <w:hideMark/>
          </w:tcPr>
          <w:p w14:paraId="54828BFD"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w:t>
            </w:r>
          </w:p>
        </w:tc>
        <w:tc>
          <w:tcPr>
            <w:tcW w:w="1971" w:type="dxa"/>
            <w:vAlign w:val="bottom"/>
          </w:tcPr>
          <w:p w14:paraId="1857B75B" w14:textId="0B84F1EE"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255.780 €</w:t>
            </w:r>
          </w:p>
        </w:tc>
      </w:tr>
      <w:tr w:rsidR="002167B2" w:rsidRPr="00514A40" w14:paraId="3299F54C" w14:textId="7821EBC2" w:rsidTr="002167B2">
        <w:trPr>
          <w:trHeight w:val="300"/>
          <w:jc w:val="center"/>
        </w:trPr>
        <w:tc>
          <w:tcPr>
            <w:tcW w:w="1742" w:type="dxa"/>
            <w:shd w:val="clear" w:color="auto" w:fill="auto"/>
            <w:noWrap/>
            <w:vAlign w:val="bottom"/>
            <w:hideMark/>
          </w:tcPr>
          <w:p w14:paraId="753D5655"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Castilla León</w:t>
            </w:r>
          </w:p>
        </w:tc>
        <w:tc>
          <w:tcPr>
            <w:tcW w:w="2069" w:type="dxa"/>
            <w:shd w:val="clear" w:color="auto" w:fill="auto"/>
            <w:noWrap/>
            <w:vAlign w:val="bottom"/>
            <w:hideMark/>
          </w:tcPr>
          <w:p w14:paraId="4D25FDC7"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€430.033,00</w:t>
            </w:r>
          </w:p>
        </w:tc>
        <w:tc>
          <w:tcPr>
            <w:tcW w:w="1722" w:type="dxa"/>
            <w:shd w:val="clear" w:color="auto" w:fill="auto"/>
            <w:noWrap/>
            <w:vAlign w:val="bottom"/>
            <w:hideMark/>
          </w:tcPr>
          <w:p w14:paraId="4585A1B8"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3</w:t>
            </w:r>
          </w:p>
        </w:tc>
        <w:tc>
          <w:tcPr>
            <w:tcW w:w="1971" w:type="dxa"/>
            <w:vAlign w:val="bottom"/>
          </w:tcPr>
          <w:p w14:paraId="485E592D" w14:textId="0641F6C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143.344 €</w:t>
            </w:r>
          </w:p>
        </w:tc>
      </w:tr>
      <w:tr w:rsidR="002167B2" w:rsidRPr="00514A40" w14:paraId="55C3E5C3" w14:textId="668FFC2C" w:rsidTr="002167B2">
        <w:trPr>
          <w:trHeight w:val="300"/>
          <w:jc w:val="center"/>
        </w:trPr>
        <w:tc>
          <w:tcPr>
            <w:tcW w:w="1742" w:type="dxa"/>
            <w:shd w:val="clear" w:color="auto" w:fill="auto"/>
            <w:noWrap/>
            <w:vAlign w:val="bottom"/>
            <w:hideMark/>
          </w:tcPr>
          <w:p w14:paraId="57643C3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Cataluña</w:t>
            </w:r>
          </w:p>
        </w:tc>
        <w:tc>
          <w:tcPr>
            <w:tcW w:w="2069" w:type="dxa"/>
            <w:shd w:val="clear" w:color="auto" w:fill="auto"/>
            <w:noWrap/>
            <w:vAlign w:val="bottom"/>
            <w:hideMark/>
          </w:tcPr>
          <w:p w14:paraId="3B665754"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€4.315.367,00</w:t>
            </w:r>
          </w:p>
        </w:tc>
        <w:tc>
          <w:tcPr>
            <w:tcW w:w="1722" w:type="dxa"/>
            <w:shd w:val="clear" w:color="auto" w:fill="auto"/>
            <w:noWrap/>
            <w:vAlign w:val="bottom"/>
            <w:hideMark/>
          </w:tcPr>
          <w:p w14:paraId="60311372"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23</w:t>
            </w:r>
          </w:p>
        </w:tc>
        <w:tc>
          <w:tcPr>
            <w:tcW w:w="1971" w:type="dxa"/>
            <w:vAlign w:val="bottom"/>
          </w:tcPr>
          <w:p w14:paraId="3CCA023F" w14:textId="2BA4F66D"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205.494 €</w:t>
            </w:r>
          </w:p>
        </w:tc>
      </w:tr>
      <w:tr w:rsidR="002167B2" w:rsidRPr="00514A40" w14:paraId="4D188625" w14:textId="2CC4F1B2" w:rsidTr="002167B2">
        <w:trPr>
          <w:trHeight w:val="300"/>
          <w:jc w:val="center"/>
        </w:trPr>
        <w:tc>
          <w:tcPr>
            <w:tcW w:w="1742" w:type="dxa"/>
            <w:shd w:val="clear" w:color="auto" w:fill="auto"/>
            <w:noWrap/>
            <w:vAlign w:val="bottom"/>
            <w:hideMark/>
          </w:tcPr>
          <w:p w14:paraId="57525283" w14:textId="10D5033A" w:rsidR="002167B2" w:rsidRPr="00514A40" w:rsidRDefault="00514A40" w:rsidP="000F7900">
            <w:pPr>
              <w:jc w:val="center"/>
              <w:rPr>
                <w:rFonts w:ascii="Calibri" w:eastAsia="Times New Roman" w:hAnsi="Calibri" w:cs="Times New Roman"/>
                <w:color w:val="000000"/>
                <w:sz w:val="22"/>
                <w:szCs w:val="22"/>
                <w:lang w:eastAsia="en-GB"/>
              </w:rPr>
            </w:pPr>
            <w:proofErr w:type="spellStart"/>
            <w:r>
              <w:rPr>
                <w:rFonts w:ascii="Calibri" w:eastAsia="Times New Roman" w:hAnsi="Calibri" w:cs="Times New Roman"/>
                <w:color w:val="000000"/>
                <w:sz w:val="22"/>
                <w:szCs w:val="22"/>
                <w:lang w:eastAsia="en-GB"/>
              </w:rPr>
              <w:t>Estatal</w:t>
            </w:r>
            <w:proofErr w:type="spellEnd"/>
          </w:p>
        </w:tc>
        <w:tc>
          <w:tcPr>
            <w:tcW w:w="2069" w:type="dxa"/>
            <w:shd w:val="clear" w:color="auto" w:fill="auto"/>
            <w:noWrap/>
            <w:vAlign w:val="bottom"/>
            <w:hideMark/>
          </w:tcPr>
          <w:p w14:paraId="0C346248"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€2.823.239,00</w:t>
            </w:r>
          </w:p>
        </w:tc>
        <w:tc>
          <w:tcPr>
            <w:tcW w:w="1722" w:type="dxa"/>
            <w:shd w:val="clear" w:color="auto" w:fill="auto"/>
            <w:noWrap/>
            <w:vAlign w:val="bottom"/>
            <w:hideMark/>
          </w:tcPr>
          <w:p w14:paraId="50AB0CD7"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4</w:t>
            </w:r>
          </w:p>
        </w:tc>
        <w:tc>
          <w:tcPr>
            <w:tcW w:w="1971" w:type="dxa"/>
            <w:vAlign w:val="bottom"/>
          </w:tcPr>
          <w:p w14:paraId="1A790618" w14:textId="728E8E09"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705.810 €</w:t>
            </w:r>
          </w:p>
        </w:tc>
      </w:tr>
      <w:tr w:rsidR="002167B2" w:rsidRPr="00514A40" w14:paraId="29B22B75" w14:textId="2FEB84B0" w:rsidTr="002167B2">
        <w:trPr>
          <w:trHeight w:val="300"/>
          <w:jc w:val="center"/>
        </w:trPr>
        <w:tc>
          <w:tcPr>
            <w:tcW w:w="1742" w:type="dxa"/>
            <w:shd w:val="clear" w:color="auto" w:fill="auto"/>
            <w:noWrap/>
            <w:vAlign w:val="bottom"/>
            <w:hideMark/>
          </w:tcPr>
          <w:p w14:paraId="40DF24D0"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Euskadi</w:t>
            </w:r>
          </w:p>
        </w:tc>
        <w:tc>
          <w:tcPr>
            <w:tcW w:w="2069" w:type="dxa"/>
            <w:shd w:val="clear" w:color="auto" w:fill="auto"/>
            <w:noWrap/>
            <w:vAlign w:val="bottom"/>
            <w:hideMark/>
          </w:tcPr>
          <w:p w14:paraId="4B942491"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€11.217.193,00</w:t>
            </w:r>
          </w:p>
        </w:tc>
        <w:tc>
          <w:tcPr>
            <w:tcW w:w="1722" w:type="dxa"/>
            <w:shd w:val="clear" w:color="auto" w:fill="auto"/>
            <w:noWrap/>
            <w:vAlign w:val="bottom"/>
            <w:hideMark/>
          </w:tcPr>
          <w:p w14:paraId="0D4BA2D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16</w:t>
            </w:r>
          </w:p>
        </w:tc>
        <w:tc>
          <w:tcPr>
            <w:tcW w:w="1971" w:type="dxa"/>
            <w:vAlign w:val="bottom"/>
          </w:tcPr>
          <w:p w14:paraId="794E0FBA" w14:textId="61EBD253"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701.075 €</w:t>
            </w:r>
          </w:p>
        </w:tc>
      </w:tr>
      <w:tr w:rsidR="002167B2" w:rsidRPr="00514A40" w14:paraId="4B840A51" w14:textId="42BE50D3" w:rsidTr="002167B2">
        <w:trPr>
          <w:trHeight w:val="300"/>
          <w:jc w:val="center"/>
        </w:trPr>
        <w:tc>
          <w:tcPr>
            <w:tcW w:w="1742" w:type="dxa"/>
            <w:shd w:val="clear" w:color="auto" w:fill="auto"/>
            <w:noWrap/>
            <w:vAlign w:val="bottom"/>
            <w:hideMark/>
          </w:tcPr>
          <w:p w14:paraId="3339E0D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Extremadura</w:t>
            </w:r>
          </w:p>
        </w:tc>
        <w:tc>
          <w:tcPr>
            <w:tcW w:w="2069" w:type="dxa"/>
            <w:shd w:val="clear" w:color="auto" w:fill="auto"/>
            <w:noWrap/>
            <w:vAlign w:val="bottom"/>
            <w:hideMark/>
          </w:tcPr>
          <w:p w14:paraId="4E72D6C4"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€2.683.457,00</w:t>
            </w:r>
          </w:p>
        </w:tc>
        <w:tc>
          <w:tcPr>
            <w:tcW w:w="1722" w:type="dxa"/>
            <w:shd w:val="clear" w:color="auto" w:fill="auto"/>
            <w:noWrap/>
            <w:vAlign w:val="bottom"/>
            <w:hideMark/>
          </w:tcPr>
          <w:p w14:paraId="26A60E6C"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w:t>
            </w:r>
          </w:p>
        </w:tc>
        <w:tc>
          <w:tcPr>
            <w:tcW w:w="1971" w:type="dxa"/>
            <w:vAlign w:val="bottom"/>
          </w:tcPr>
          <w:p w14:paraId="1A2F8B0B" w14:textId="2EF09916"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1.341.729 €</w:t>
            </w:r>
          </w:p>
        </w:tc>
      </w:tr>
      <w:tr w:rsidR="002167B2" w:rsidRPr="00514A40" w14:paraId="778948FF" w14:textId="2CF5D70D" w:rsidTr="002167B2">
        <w:trPr>
          <w:trHeight w:val="300"/>
          <w:jc w:val="center"/>
        </w:trPr>
        <w:tc>
          <w:tcPr>
            <w:tcW w:w="1742" w:type="dxa"/>
            <w:shd w:val="clear" w:color="auto" w:fill="auto"/>
            <w:noWrap/>
            <w:vAlign w:val="bottom"/>
            <w:hideMark/>
          </w:tcPr>
          <w:p w14:paraId="238CB166"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Galicia</w:t>
            </w:r>
          </w:p>
        </w:tc>
        <w:tc>
          <w:tcPr>
            <w:tcW w:w="2069" w:type="dxa"/>
            <w:shd w:val="clear" w:color="auto" w:fill="auto"/>
            <w:noWrap/>
            <w:vAlign w:val="bottom"/>
            <w:hideMark/>
          </w:tcPr>
          <w:p w14:paraId="677E661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€83.500,00</w:t>
            </w:r>
          </w:p>
        </w:tc>
        <w:tc>
          <w:tcPr>
            <w:tcW w:w="1722" w:type="dxa"/>
            <w:shd w:val="clear" w:color="auto" w:fill="auto"/>
            <w:noWrap/>
            <w:vAlign w:val="bottom"/>
            <w:hideMark/>
          </w:tcPr>
          <w:p w14:paraId="771EE6CD"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w:t>
            </w:r>
          </w:p>
        </w:tc>
        <w:tc>
          <w:tcPr>
            <w:tcW w:w="1971" w:type="dxa"/>
            <w:vAlign w:val="bottom"/>
          </w:tcPr>
          <w:p w14:paraId="6E47CE15" w14:textId="5F2DC026"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83.500 €</w:t>
            </w:r>
          </w:p>
        </w:tc>
      </w:tr>
      <w:tr w:rsidR="002167B2" w:rsidRPr="00514A40" w14:paraId="194FBBAD" w14:textId="53B9FCF4" w:rsidTr="002167B2">
        <w:trPr>
          <w:trHeight w:val="300"/>
          <w:jc w:val="center"/>
        </w:trPr>
        <w:tc>
          <w:tcPr>
            <w:tcW w:w="1742" w:type="dxa"/>
            <w:shd w:val="clear" w:color="auto" w:fill="auto"/>
            <w:noWrap/>
            <w:vAlign w:val="bottom"/>
            <w:hideMark/>
          </w:tcPr>
          <w:p w14:paraId="68C248A8"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Islas Baleares</w:t>
            </w:r>
          </w:p>
        </w:tc>
        <w:tc>
          <w:tcPr>
            <w:tcW w:w="2069" w:type="dxa"/>
            <w:shd w:val="clear" w:color="auto" w:fill="auto"/>
            <w:noWrap/>
            <w:vAlign w:val="bottom"/>
            <w:hideMark/>
          </w:tcPr>
          <w:p w14:paraId="006A562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€1.106.452,00</w:t>
            </w:r>
          </w:p>
        </w:tc>
        <w:tc>
          <w:tcPr>
            <w:tcW w:w="1722" w:type="dxa"/>
            <w:shd w:val="clear" w:color="auto" w:fill="auto"/>
            <w:noWrap/>
            <w:vAlign w:val="bottom"/>
            <w:hideMark/>
          </w:tcPr>
          <w:p w14:paraId="0A772EEC"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9</w:t>
            </w:r>
          </w:p>
        </w:tc>
        <w:tc>
          <w:tcPr>
            <w:tcW w:w="1971" w:type="dxa"/>
            <w:vAlign w:val="bottom"/>
          </w:tcPr>
          <w:p w14:paraId="212A0A43" w14:textId="793165DE"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138.307 €</w:t>
            </w:r>
          </w:p>
        </w:tc>
      </w:tr>
      <w:tr w:rsidR="002167B2" w:rsidRPr="00514A40" w14:paraId="32DD341F" w14:textId="64D87C36" w:rsidTr="002167B2">
        <w:trPr>
          <w:trHeight w:val="300"/>
          <w:jc w:val="center"/>
        </w:trPr>
        <w:tc>
          <w:tcPr>
            <w:tcW w:w="1742" w:type="dxa"/>
            <w:shd w:val="clear" w:color="auto" w:fill="auto"/>
            <w:noWrap/>
            <w:vAlign w:val="bottom"/>
            <w:hideMark/>
          </w:tcPr>
          <w:p w14:paraId="22DF93B5"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La Rioja</w:t>
            </w:r>
          </w:p>
        </w:tc>
        <w:tc>
          <w:tcPr>
            <w:tcW w:w="2069" w:type="dxa"/>
            <w:shd w:val="clear" w:color="auto" w:fill="auto"/>
            <w:noWrap/>
            <w:vAlign w:val="bottom"/>
            <w:hideMark/>
          </w:tcPr>
          <w:p w14:paraId="76325D41"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€29.310,00</w:t>
            </w:r>
          </w:p>
        </w:tc>
        <w:tc>
          <w:tcPr>
            <w:tcW w:w="1722" w:type="dxa"/>
            <w:shd w:val="clear" w:color="auto" w:fill="auto"/>
            <w:noWrap/>
            <w:vAlign w:val="bottom"/>
            <w:hideMark/>
          </w:tcPr>
          <w:p w14:paraId="05308EA6"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w:t>
            </w:r>
          </w:p>
        </w:tc>
        <w:tc>
          <w:tcPr>
            <w:tcW w:w="1971" w:type="dxa"/>
            <w:vAlign w:val="bottom"/>
          </w:tcPr>
          <w:p w14:paraId="60221595" w14:textId="771DDD59"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29.310 €</w:t>
            </w:r>
          </w:p>
        </w:tc>
      </w:tr>
      <w:tr w:rsidR="002167B2" w:rsidRPr="00514A40" w14:paraId="1269DBC6" w14:textId="16A2D989" w:rsidTr="002167B2">
        <w:trPr>
          <w:trHeight w:val="300"/>
          <w:jc w:val="center"/>
        </w:trPr>
        <w:tc>
          <w:tcPr>
            <w:tcW w:w="1742" w:type="dxa"/>
            <w:shd w:val="clear" w:color="auto" w:fill="auto"/>
            <w:noWrap/>
            <w:vAlign w:val="bottom"/>
            <w:hideMark/>
          </w:tcPr>
          <w:p w14:paraId="6B255D7B"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Madrid</w:t>
            </w:r>
          </w:p>
        </w:tc>
        <w:tc>
          <w:tcPr>
            <w:tcW w:w="2069" w:type="dxa"/>
            <w:shd w:val="clear" w:color="auto" w:fill="auto"/>
            <w:noWrap/>
            <w:vAlign w:val="bottom"/>
            <w:hideMark/>
          </w:tcPr>
          <w:p w14:paraId="138017D2"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€946.416,00</w:t>
            </w:r>
          </w:p>
        </w:tc>
        <w:tc>
          <w:tcPr>
            <w:tcW w:w="1722" w:type="dxa"/>
            <w:shd w:val="clear" w:color="auto" w:fill="auto"/>
            <w:noWrap/>
            <w:vAlign w:val="bottom"/>
            <w:hideMark/>
          </w:tcPr>
          <w:p w14:paraId="341E8890"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5</w:t>
            </w:r>
          </w:p>
        </w:tc>
        <w:tc>
          <w:tcPr>
            <w:tcW w:w="1971" w:type="dxa"/>
            <w:vAlign w:val="bottom"/>
          </w:tcPr>
          <w:p w14:paraId="00801F89" w14:textId="4FC18828"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189.283 €</w:t>
            </w:r>
          </w:p>
        </w:tc>
      </w:tr>
      <w:tr w:rsidR="002167B2" w:rsidRPr="00514A40" w14:paraId="2F650537" w14:textId="4E46782D" w:rsidTr="002167B2">
        <w:trPr>
          <w:trHeight w:val="300"/>
          <w:jc w:val="center"/>
        </w:trPr>
        <w:tc>
          <w:tcPr>
            <w:tcW w:w="1742" w:type="dxa"/>
            <w:shd w:val="clear" w:color="auto" w:fill="auto"/>
            <w:noWrap/>
            <w:vAlign w:val="bottom"/>
            <w:hideMark/>
          </w:tcPr>
          <w:p w14:paraId="0220FE25"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Murcia</w:t>
            </w:r>
          </w:p>
        </w:tc>
        <w:tc>
          <w:tcPr>
            <w:tcW w:w="2069" w:type="dxa"/>
            <w:shd w:val="clear" w:color="auto" w:fill="auto"/>
            <w:noWrap/>
            <w:vAlign w:val="bottom"/>
            <w:hideMark/>
          </w:tcPr>
          <w:p w14:paraId="46C2824B"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€959.642,00</w:t>
            </w:r>
          </w:p>
        </w:tc>
        <w:tc>
          <w:tcPr>
            <w:tcW w:w="1722" w:type="dxa"/>
            <w:shd w:val="clear" w:color="auto" w:fill="auto"/>
            <w:noWrap/>
            <w:vAlign w:val="bottom"/>
            <w:hideMark/>
          </w:tcPr>
          <w:p w14:paraId="2F0D619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4</w:t>
            </w:r>
          </w:p>
        </w:tc>
        <w:tc>
          <w:tcPr>
            <w:tcW w:w="1971" w:type="dxa"/>
            <w:vAlign w:val="bottom"/>
          </w:tcPr>
          <w:p w14:paraId="007D330A" w14:textId="4E9144DE"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239.911 €</w:t>
            </w:r>
          </w:p>
        </w:tc>
      </w:tr>
      <w:tr w:rsidR="002167B2" w:rsidRPr="00514A40" w14:paraId="11F3F413" w14:textId="5E1BB9A8" w:rsidTr="002167B2">
        <w:trPr>
          <w:trHeight w:val="300"/>
          <w:jc w:val="center"/>
        </w:trPr>
        <w:tc>
          <w:tcPr>
            <w:tcW w:w="1742" w:type="dxa"/>
            <w:shd w:val="clear" w:color="auto" w:fill="auto"/>
            <w:noWrap/>
            <w:vAlign w:val="bottom"/>
            <w:hideMark/>
          </w:tcPr>
          <w:p w14:paraId="5185ED64"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Navarra</w:t>
            </w:r>
          </w:p>
        </w:tc>
        <w:tc>
          <w:tcPr>
            <w:tcW w:w="2069" w:type="dxa"/>
            <w:shd w:val="clear" w:color="auto" w:fill="auto"/>
            <w:noWrap/>
            <w:vAlign w:val="bottom"/>
            <w:hideMark/>
          </w:tcPr>
          <w:p w14:paraId="19F0EA13"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€189.710,00</w:t>
            </w:r>
          </w:p>
        </w:tc>
        <w:tc>
          <w:tcPr>
            <w:tcW w:w="1722" w:type="dxa"/>
            <w:shd w:val="clear" w:color="auto" w:fill="auto"/>
            <w:noWrap/>
            <w:vAlign w:val="bottom"/>
            <w:hideMark/>
          </w:tcPr>
          <w:p w14:paraId="4A509F16" w14:textId="77777777"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s="Times New Roman"/>
                <w:color w:val="000000"/>
                <w:sz w:val="22"/>
                <w:szCs w:val="22"/>
                <w:lang w:eastAsia="en-GB"/>
              </w:rPr>
              <w:t>6</w:t>
            </w:r>
          </w:p>
        </w:tc>
        <w:tc>
          <w:tcPr>
            <w:tcW w:w="1971" w:type="dxa"/>
            <w:vAlign w:val="bottom"/>
          </w:tcPr>
          <w:p w14:paraId="68AE569E" w14:textId="360BC66D" w:rsidR="002167B2" w:rsidRPr="00514A40" w:rsidRDefault="002167B2" w:rsidP="000F7900">
            <w:pPr>
              <w:jc w:val="center"/>
              <w:rPr>
                <w:rFonts w:ascii="Calibri" w:eastAsia="Times New Roman" w:hAnsi="Calibri" w:cs="Times New Roman"/>
                <w:color w:val="000000"/>
                <w:sz w:val="22"/>
                <w:szCs w:val="22"/>
                <w:lang w:eastAsia="en-GB"/>
              </w:rPr>
            </w:pPr>
            <w:r w:rsidRPr="00514A40">
              <w:rPr>
                <w:rFonts w:ascii="Calibri" w:eastAsia="Times New Roman" w:hAnsi="Calibri"/>
                <w:color w:val="000000"/>
                <w:sz w:val="22"/>
                <w:szCs w:val="22"/>
              </w:rPr>
              <w:t>37.942 €</w:t>
            </w:r>
          </w:p>
        </w:tc>
      </w:tr>
      <w:tr w:rsidR="002167B2" w:rsidRPr="00514A40" w14:paraId="4A814917" w14:textId="033DE8FB" w:rsidTr="002167B2">
        <w:trPr>
          <w:trHeight w:val="300"/>
          <w:jc w:val="center"/>
        </w:trPr>
        <w:tc>
          <w:tcPr>
            <w:tcW w:w="1742" w:type="dxa"/>
            <w:shd w:val="clear" w:color="D9E1F2" w:fill="D9E1F2"/>
            <w:noWrap/>
            <w:vAlign w:val="bottom"/>
            <w:hideMark/>
          </w:tcPr>
          <w:p w14:paraId="56E731A7" w14:textId="56E978B3" w:rsidR="002167B2" w:rsidRPr="00514A40" w:rsidRDefault="002167B2" w:rsidP="000F7900">
            <w:pPr>
              <w:jc w:val="center"/>
              <w:rPr>
                <w:rFonts w:ascii="Calibri" w:eastAsia="Times New Roman" w:hAnsi="Calibri" w:cs="Times New Roman"/>
                <w:b/>
                <w:bCs/>
                <w:color w:val="000000"/>
                <w:sz w:val="22"/>
                <w:szCs w:val="22"/>
                <w:lang w:eastAsia="en-GB"/>
              </w:rPr>
            </w:pPr>
            <w:r w:rsidRPr="00514A40">
              <w:rPr>
                <w:rFonts w:ascii="Calibri" w:eastAsia="Times New Roman" w:hAnsi="Calibri" w:cs="Times New Roman"/>
                <w:b/>
                <w:bCs/>
                <w:color w:val="000000"/>
                <w:sz w:val="22"/>
                <w:szCs w:val="22"/>
                <w:lang w:eastAsia="en-GB"/>
              </w:rPr>
              <w:t>Total</w:t>
            </w:r>
          </w:p>
        </w:tc>
        <w:tc>
          <w:tcPr>
            <w:tcW w:w="2069" w:type="dxa"/>
            <w:shd w:val="clear" w:color="D9E1F2" w:fill="D9E1F2"/>
            <w:noWrap/>
            <w:vAlign w:val="bottom"/>
            <w:hideMark/>
          </w:tcPr>
          <w:p w14:paraId="7E68A8B5" w14:textId="77777777" w:rsidR="002167B2" w:rsidRPr="00514A40" w:rsidRDefault="002167B2" w:rsidP="000F7900">
            <w:pPr>
              <w:jc w:val="center"/>
              <w:rPr>
                <w:rFonts w:ascii="Calibri" w:eastAsia="Times New Roman" w:hAnsi="Calibri" w:cs="Times New Roman"/>
                <w:b/>
                <w:bCs/>
                <w:color w:val="000000"/>
                <w:sz w:val="22"/>
                <w:szCs w:val="22"/>
                <w:lang w:eastAsia="en-GB"/>
              </w:rPr>
            </w:pPr>
            <w:r w:rsidRPr="00514A40">
              <w:rPr>
                <w:rFonts w:ascii="Calibri" w:eastAsia="Times New Roman" w:hAnsi="Calibri" w:cs="Times New Roman"/>
                <w:b/>
                <w:bCs/>
                <w:color w:val="000000"/>
                <w:sz w:val="22"/>
                <w:szCs w:val="22"/>
                <w:lang w:eastAsia="en-GB"/>
              </w:rPr>
              <w:t>€26.420.079,00</w:t>
            </w:r>
          </w:p>
        </w:tc>
        <w:tc>
          <w:tcPr>
            <w:tcW w:w="1722" w:type="dxa"/>
            <w:shd w:val="clear" w:color="D9E1F2" w:fill="D9E1F2"/>
            <w:noWrap/>
            <w:vAlign w:val="bottom"/>
            <w:hideMark/>
          </w:tcPr>
          <w:p w14:paraId="101D2E2E" w14:textId="77777777" w:rsidR="002167B2" w:rsidRPr="00514A40" w:rsidRDefault="002167B2" w:rsidP="000F7900">
            <w:pPr>
              <w:jc w:val="center"/>
              <w:rPr>
                <w:rFonts w:ascii="Calibri" w:eastAsia="Times New Roman" w:hAnsi="Calibri" w:cs="Times New Roman"/>
                <w:b/>
                <w:bCs/>
                <w:color w:val="000000"/>
                <w:sz w:val="22"/>
                <w:szCs w:val="22"/>
                <w:lang w:eastAsia="en-GB"/>
              </w:rPr>
            </w:pPr>
            <w:r w:rsidRPr="00514A40">
              <w:rPr>
                <w:rFonts w:ascii="Calibri" w:eastAsia="Times New Roman" w:hAnsi="Calibri" w:cs="Times New Roman"/>
                <w:b/>
                <w:bCs/>
                <w:color w:val="000000"/>
                <w:sz w:val="22"/>
                <w:szCs w:val="22"/>
                <w:lang w:eastAsia="en-GB"/>
              </w:rPr>
              <w:t>89</w:t>
            </w:r>
          </w:p>
        </w:tc>
        <w:tc>
          <w:tcPr>
            <w:tcW w:w="1971" w:type="dxa"/>
            <w:shd w:val="clear" w:color="D9E1F2" w:fill="D9E1F2"/>
          </w:tcPr>
          <w:p w14:paraId="791FA924" w14:textId="2F14D702" w:rsidR="002167B2" w:rsidRPr="00514A40" w:rsidRDefault="00597FC0" w:rsidP="000F7900">
            <w:pPr>
              <w:jc w:val="center"/>
              <w:rPr>
                <w:rFonts w:ascii="Calibri" w:eastAsia="Times New Roman" w:hAnsi="Calibri" w:cs="Times New Roman"/>
                <w:b/>
                <w:bCs/>
                <w:color w:val="000000"/>
                <w:sz w:val="22"/>
                <w:szCs w:val="22"/>
                <w:lang w:eastAsia="en-GB"/>
              </w:rPr>
            </w:pPr>
            <w:r w:rsidRPr="00514A40">
              <w:rPr>
                <w:rFonts w:ascii="Calibri" w:eastAsia="Times New Roman" w:hAnsi="Calibri" w:cs="Times New Roman"/>
                <w:b/>
                <w:bCs/>
                <w:color w:val="000000"/>
                <w:sz w:val="22"/>
                <w:szCs w:val="22"/>
                <w:lang w:eastAsia="en-GB"/>
              </w:rPr>
              <w:t>296.854,82 €</w:t>
            </w:r>
          </w:p>
        </w:tc>
      </w:tr>
    </w:tbl>
    <w:p w14:paraId="347814A0" w14:textId="77777777" w:rsidR="00597FC0" w:rsidRDefault="00597FC0" w:rsidP="002167B2">
      <w:pPr>
        <w:spacing w:line="360" w:lineRule="auto"/>
        <w:rPr>
          <w:lang w:val="es-ES"/>
        </w:rPr>
      </w:pPr>
    </w:p>
    <w:p w14:paraId="33EA0A64" w14:textId="0B1EB7A6" w:rsidR="00E2371A" w:rsidRPr="00514A40" w:rsidRDefault="00E2371A" w:rsidP="002167B2">
      <w:pPr>
        <w:spacing w:line="360" w:lineRule="auto"/>
        <w:rPr>
          <w:sz w:val="22"/>
          <w:lang w:val="es-ES"/>
        </w:rPr>
      </w:pPr>
      <w:r w:rsidRPr="00514A40">
        <w:rPr>
          <w:sz w:val="22"/>
          <w:lang w:val="es-ES"/>
        </w:rPr>
        <w:lastRenderedPageBreak/>
        <w:t>Como muestra la tabla anterior, dos son las comunidades sobre las que no se tienen datos: Islas Canarias y la Comunidad Valenciana. De entre el resto destacan tanto por número de contratos como por el importe de los mismos Euskadi y Cataluña mientras que Baleares aparece en tercera posición por número de contratos</w:t>
      </w:r>
      <w:r w:rsidR="002167B2" w:rsidRPr="00514A40">
        <w:rPr>
          <w:sz w:val="22"/>
          <w:lang w:val="es-ES"/>
        </w:rPr>
        <w:t>,</w:t>
      </w:r>
      <w:r w:rsidRPr="00514A40">
        <w:rPr>
          <w:sz w:val="22"/>
          <w:lang w:val="es-ES"/>
        </w:rPr>
        <w:t xml:space="preserve"> pero superada en cantidad por Extremadura.</w:t>
      </w:r>
    </w:p>
    <w:p w14:paraId="46021266" w14:textId="6B8CE49E" w:rsidR="002167B2" w:rsidRDefault="002167B2" w:rsidP="002167B2">
      <w:pPr>
        <w:spacing w:line="360" w:lineRule="auto"/>
        <w:rPr>
          <w:lang w:val="es-ES"/>
        </w:rPr>
      </w:pPr>
      <w:r w:rsidRPr="00514A40">
        <w:rPr>
          <w:sz w:val="22"/>
          <w:lang w:val="es-ES"/>
        </w:rPr>
        <w:t>Si ponemos en un mapa los datos anteriores, tendríamos lo siguiente:</w:t>
      </w:r>
    </w:p>
    <w:p w14:paraId="6C2AF9A6" w14:textId="7DBC163D" w:rsidR="00A34889" w:rsidRPr="00514A40" w:rsidRDefault="00A34889" w:rsidP="002167B2">
      <w:pPr>
        <w:jc w:val="center"/>
        <w:rPr>
          <w:b/>
          <w:sz w:val="22"/>
          <w:lang w:val="es-ES"/>
        </w:rPr>
      </w:pPr>
      <w:r w:rsidRPr="00514A40">
        <w:rPr>
          <w:b/>
          <w:sz w:val="22"/>
          <w:lang w:val="es-ES"/>
        </w:rPr>
        <w:t>Presupuesto Total de los contratos</w:t>
      </w:r>
      <w:r w:rsidR="002167B2" w:rsidRPr="00514A40">
        <w:rPr>
          <w:b/>
          <w:sz w:val="22"/>
          <w:lang w:val="es-ES"/>
        </w:rPr>
        <w:t xml:space="preserve"> reservados</w:t>
      </w:r>
      <w:r w:rsidRPr="00514A40">
        <w:rPr>
          <w:b/>
          <w:sz w:val="22"/>
          <w:lang w:val="es-ES"/>
        </w:rPr>
        <w:t xml:space="preserve"> y número de contratos</w:t>
      </w:r>
      <w:r w:rsidR="002167B2" w:rsidRPr="00514A40">
        <w:rPr>
          <w:b/>
          <w:sz w:val="22"/>
          <w:lang w:val="es-ES"/>
        </w:rPr>
        <w:t xml:space="preserve"> reservados</w:t>
      </w:r>
    </w:p>
    <w:p w14:paraId="7B242A67" w14:textId="77777777" w:rsidR="00863722" w:rsidRDefault="00E101FA" w:rsidP="00597FC0">
      <w:pPr>
        <w:jc w:val="center"/>
      </w:pPr>
      <w:r>
        <w:rPr>
          <w:noProof/>
          <w:lang w:val="es-ES" w:eastAsia="es-ES"/>
        </w:rPr>
        <w:drawing>
          <wp:inline distT="0" distB="0" distL="0" distR="0" wp14:anchorId="5BCAFB39" wp14:editId="151492CD">
            <wp:extent cx="4802562" cy="4063279"/>
            <wp:effectExtent l="0" t="0" r="0" b="1270"/>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rotWithShape="1">
                    <a:blip r:embed="rId10"/>
                    <a:srcRect t="29338" r="20069" b="3035"/>
                    <a:stretch/>
                  </pic:blipFill>
                  <pic:spPr bwMode="auto">
                    <a:xfrm>
                      <a:off x="0" y="0"/>
                      <a:ext cx="4852716" cy="4105713"/>
                    </a:xfrm>
                    <a:prstGeom prst="rect">
                      <a:avLst/>
                    </a:prstGeom>
                    <a:ln>
                      <a:noFill/>
                    </a:ln>
                    <a:extLst>
                      <a:ext uri="{53640926-AAD7-44D8-BBD7-CCE9431645EC}">
                        <a14:shadowObscured xmlns:a14="http://schemas.microsoft.com/office/drawing/2010/main"/>
                      </a:ext>
                    </a:extLst>
                  </pic:spPr>
                </pic:pic>
              </a:graphicData>
            </a:graphic>
          </wp:inline>
        </w:drawing>
      </w:r>
    </w:p>
    <w:p w14:paraId="20FA0BBF" w14:textId="3CD2632F" w:rsidR="006A2126" w:rsidRDefault="006A2126" w:rsidP="00E101FA"/>
    <w:p w14:paraId="20B91073" w14:textId="0A44ED9C" w:rsidR="00FA1635" w:rsidRPr="00514A40" w:rsidRDefault="002167B2" w:rsidP="002167B2">
      <w:pPr>
        <w:spacing w:line="360" w:lineRule="auto"/>
        <w:jc w:val="both"/>
        <w:rPr>
          <w:sz w:val="22"/>
          <w:lang w:val="es-ES"/>
        </w:rPr>
      </w:pPr>
      <w:r w:rsidRPr="00514A40">
        <w:rPr>
          <w:sz w:val="22"/>
          <w:lang w:val="es-ES"/>
        </w:rPr>
        <w:t>Por último, si atendemos a los sectores a los que se destinan los contratos, dos destacan por encima del resto como son: mantenimiento – sobre todo de parques y jardines – y limpieza. A mayor distancia pueden encontrarse contratos reservados relacionados con documentación (digitalización de documentos, servicios de correos, etc.); comunicaciones (servicios de asistencia ciudadana y teleasistencia) y residuos.</w:t>
      </w:r>
    </w:p>
    <w:p w14:paraId="1DDD7741" w14:textId="382A3566" w:rsidR="00597FC0" w:rsidRDefault="00597FC0">
      <w:pPr>
        <w:rPr>
          <w:lang w:val="es-ES"/>
        </w:rPr>
      </w:pPr>
      <w:r>
        <w:rPr>
          <w:lang w:val="es-ES"/>
        </w:rPr>
        <w:br w:type="page"/>
      </w:r>
    </w:p>
    <w:p w14:paraId="464F56A2" w14:textId="77777777" w:rsidR="002167B2" w:rsidRPr="002167B2" w:rsidRDefault="002167B2" w:rsidP="002167B2">
      <w:pPr>
        <w:spacing w:line="360" w:lineRule="auto"/>
        <w:jc w:val="both"/>
        <w:rPr>
          <w:lang w:val="es-ES"/>
        </w:rPr>
      </w:pPr>
    </w:p>
    <w:p w14:paraId="76B8DA4D" w14:textId="4571DAC4" w:rsidR="00FA1635" w:rsidRPr="002167B2" w:rsidRDefault="002167B2" w:rsidP="00E101FA">
      <w:pPr>
        <w:rPr>
          <w:lang w:val="es-ES"/>
        </w:rPr>
      </w:pPr>
      <w:r>
        <w:rPr>
          <w:noProof/>
          <w:lang w:val="es-ES" w:eastAsia="es-ES"/>
        </w:rPr>
        <w:drawing>
          <wp:anchor distT="0" distB="0" distL="114300" distR="114300" simplePos="0" relativeHeight="251658240" behindDoc="1" locked="0" layoutInCell="1" allowOverlap="1" wp14:anchorId="7646C400" wp14:editId="1B889DA3">
            <wp:simplePos x="0" y="0"/>
            <wp:positionH relativeFrom="margin">
              <wp:posOffset>-613410</wp:posOffset>
            </wp:positionH>
            <wp:positionV relativeFrom="paragraph">
              <wp:posOffset>187960</wp:posOffset>
            </wp:positionV>
            <wp:extent cx="6657975" cy="6899910"/>
            <wp:effectExtent l="0" t="0" r="9525" b="1524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2C9BA39A" w14:textId="77777777" w:rsidR="00FA1635" w:rsidRPr="002167B2" w:rsidRDefault="00FA1635" w:rsidP="00E101FA">
      <w:pPr>
        <w:rPr>
          <w:lang w:val="es-ES"/>
        </w:rPr>
      </w:pPr>
    </w:p>
    <w:p w14:paraId="69E00683" w14:textId="77777777" w:rsidR="00FA1635" w:rsidRPr="002167B2" w:rsidRDefault="00FA1635" w:rsidP="00E101FA">
      <w:pPr>
        <w:rPr>
          <w:lang w:val="es-ES"/>
        </w:rPr>
      </w:pPr>
    </w:p>
    <w:p w14:paraId="5266B8F0" w14:textId="77777777" w:rsidR="00FA1635" w:rsidRPr="002167B2" w:rsidRDefault="00FA1635" w:rsidP="00E101FA">
      <w:pPr>
        <w:rPr>
          <w:lang w:val="es-ES"/>
        </w:rPr>
      </w:pPr>
    </w:p>
    <w:p w14:paraId="49D1B7DD" w14:textId="77777777" w:rsidR="00FA1635" w:rsidRPr="002167B2" w:rsidRDefault="00FA1635" w:rsidP="00E101FA">
      <w:pPr>
        <w:rPr>
          <w:lang w:val="es-ES"/>
        </w:rPr>
      </w:pPr>
    </w:p>
    <w:p w14:paraId="0D87699D" w14:textId="77777777" w:rsidR="00FA1635" w:rsidRPr="002167B2" w:rsidRDefault="00FA1635" w:rsidP="00E101FA">
      <w:pPr>
        <w:rPr>
          <w:lang w:val="es-ES"/>
        </w:rPr>
      </w:pPr>
    </w:p>
    <w:p w14:paraId="1EEB54B9" w14:textId="77777777" w:rsidR="00FA1635" w:rsidRPr="002167B2" w:rsidRDefault="00FA1635" w:rsidP="00E101FA">
      <w:pPr>
        <w:rPr>
          <w:lang w:val="es-ES"/>
        </w:rPr>
      </w:pPr>
    </w:p>
    <w:p w14:paraId="451E08E2" w14:textId="77777777" w:rsidR="00FA1635" w:rsidRPr="002167B2" w:rsidRDefault="00FA1635" w:rsidP="00E101FA">
      <w:pPr>
        <w:rPr>
          <w:lang w:val="es-ES"/>
        </w:rPr>
      </w:pPr>
    </w:p>
    <w:p w14:paraId="2C47B17A" w14:textId="77777777" w:rsidR="00FA1635" w:rsidRPr="002167B2" w:rsidRDefault="00FA1635" w:rsidP="00E101FA">
      <w:pPr>
        <w:rPr>
          <w:lang w:val="es-ES"/>
        </w:rPr>
      </w:pPr>
    </w:p>
    <w:p w14:paraId="557053F6" w14:textId="77777777" w:rsidR="00FA1635" w:rsidRPr="002167B2" w:rsidRDefault="00FA1635" w:rsidP="00E101FA">
      <w:pPr>
        <w:rPr>
          <w:lang w:val="es-ES"/>
        </w:rPr>
      </w:pPr>
    </w:p>
    <w:p w14:paraId="5151D883" w14:textId="612D2301" w:rsidR="00FA1635" w:rsidRDefault="00FA1635" w:rsidP="00E101FA">
      <w:pPr>
        <w:rPr>
          <w:lang w:val="es-ES"/>
        </w:rPr>
      </w:pPr>
    </w:p>
    <w:p w14:paraId="5434C7F6" w14:textId="77777777" w:rsidR="002167B2" w:rsidRDefault="002167B2" w:rsidP="00E101FA">
      <w:pPr>
        <w:rPr>
          <w:lang w:val="es-ES"/>
        </w:rPr>
      </w:pPr>
    </w:p>
    <w:p w14:paraId="07E80FEC" w14:textId="77777777" w:rsidR="002167B2" w:rsidRDefault="002167B2" w:rsidP="00E101FA">
      <w:pPr>
        <w:rPr>
          <w:lang w:val="es-ES"/>
        </w:rPr>
      </w:pPr>
    </w:p>
    <w:p w14:paraId="6CB78542" w14:textId="77777777" w:rsidR="002167B2" w:rsidRDefault="002167B2" w:rsidP="00E101FA">
      <w:pPr>
        <w:rPr>
          <w:lang w:val="es-ES"/>
        </w:rPr>
      </w:pPr>
    </w:p>
    <w:p w14:paraId="57801B7A" w14:textId="77777777" w:rsidR="002167B2" w:rsidRDefault="002167B2" w:rsidP="00E101FA">
      <w:pPr>
        <w:rPr>
          <w:lang w:val="es-ES"/>
        </w:rPr>
      </w:pPr>
    </w:p>
    <w:p w14:paraId="68AB03BD" w14:textId="77777777" w:rsidR="002167B2" w:rsidRDefault="002167B2" w:rsidP="00E101FA">
      <w:pPr>
        <w:rPr>
          <w:lang w:val="es-ES"/>
        </w:rPr>
      </w:pPr>
    </w:p>
    <w:p w14:paraId="03BB637F" w14:textId="77777777" w:rsidR="002167B2" w:rsidRDefault="002167B2" w:rsidP="00E101FA">
      <w:pPr>
        <w:rPr>
          <w:lang w:val="es-ES"/>
        </w:rPr>
      </w:pPr>
    </w:p>
    <w:p w14:paraId="46E4BFF3" w14:textId="77777777" w:rsidR="002167B2" w:rsidRDefault="002167B2" w:rsidP="00E101FA">
      <w:pPr>
        <w:rPr>
          <w:lang w:val="es-ES"/>
        </w:rPr>
      </w:pPr>
    </w:p>
    <w:p w14:paraId="50A4ABB0" w14:textId="77777777" w:rsidR="002167B2" w:rsidRDefault="002167B2" w:rsidP="00E101FA">
      <w:pPr>
        <w:rPr>
          <w:lang w:val="es-ES"/>
        </w:rPr>
      </w:pPr>
    </w:p>
    <w:p w14:paraId="585B53AE" w14:textId="77777777" w:rsidR="002167B2" w:rsidRDefault="002167B2" w:rsidP="00E101FA">
      <w:pPr>
        <w:rPr>
          <w:lang w:val="es-ES"/>
        </w:rPr>
      </w:pPr>
    </w:p>
    <w:p w14:paraId="42A624C2" w14:textId="77777777" w:rsidR="002167B2" w:rsidRDefault="002167B2" w:rsidP="00E101FA">
      <w:pPr>
        <w:rPr>
          <w:lang w:val="es-ES"/>
        </w:rPr>
      </w:pPr>
    </w:p>
    <w:p w14:paraId="7ADD0B8D" w14:textId="77777777" w:rsidR="002167B2" w:rsidRDefault="002167B2" w:rsidP="00E101FA">
      <w:pPr>
        <w:rPr>
          <w:lang w:val="es-ES"/>
        </w:rPr>
      </w:pPr>
    </w:p>
    <w:p w14:paraId="0D1121B4" w14:textId="77777777" w:rsidR="002167B2" w:rsidRDefault="002167B2" w:rsidP="00E101FA">
      <w:pPr>
        <w:rPr>
          <w:lang w:val="es-ES"/>
        </w:rPr>
      </w:pPr>
    </w:p>
    <w:p w14:paraId="6546A512" w14:textId="77777777" w:rsidR="002167B2" w:rsidRDefault="002167B2" w:rsidP="00E101FA">
      <w:pPr>
        <w:rPr>
          <w:lang w:val="es-ES"/>
        </w:rPr>
      </w:pPr>
    </w:p>
    <w:p w14:paraId="62378398" w14:textId="06C0592E" w:rsidR="002167B2" w:rsidRDefault="002167B2">
      <w:pPr>
        <w:rPr>
          <w:lang w:val="es-ES"/>
        </w:rPr>
      </w:pPr>
      <w:r>
        <w:rPr>
          <w:lang w:val="es-ES"/>
        </w:rPr>
        <w:br w:type="page"/>
      </w:r>
    </w:p>
    <w:p w14:paraId="0FE77754" w14:textId="77777777" w:rsidR="002167B2" w:rsidRPr="00597FC0" w:rsidRDefault="002167B2" w:rsidP="002167B2">
      <w:pPr>
        <w:rPr>
          <w:b/>
          <w:color w:val="FF0000"/>
          <w:sz w:val="28"/>
          <w:lang w:val="es-ES"/>
        </w:rPr>
      </w:pPr>
      <w:r w:rsidRPr="00597FC0">
        <w:rPr>
          <w:b/>
          <w:color w:val="FF0000"/>
          <w:sz w:val="28"/>
          <w:lang w:val="es-ES"/>
        </w:rPr>
        <w:lastRenderedPageBreak/>
        <w:t>Anexo: Los contratos reservados en la España.</w:t>
      </w:r>
    </w:p>
    <w:p w14:paraId="17C375FC" w14:textId="1253E7A2" w:rsidR="002167B2" w:rsidRPr="00514A40" w:rsidRDefault="002167B2" w:rsidP="002167B2">
      <w:pPr>
        <w:spacing w:line="360" w:lineRule="auto"/>
        <w:rPr>
          <w:sz w:val="22"/>
          <w:lang w:val="es-ES"/>
        </w:rPr>
      </w:pPr>
      <w:r w:rsidRPr="00514A40">
        <w:rPr>
          <w:sz w:val="22"/>
          <w:lang w:val="es-ES"/>
        </w:rPr>
        <w:t>Como se apuntó anteriormente, la casuística en cuanto a la legislación de contratos reservados es variada. En la siguiente tabla pueden verse algunos ejemplos de cómo se ha abordado.</w:t>
      </w:r>
    </w:p>
    <w:tbl>
      <w:tblPr>
        <w:tblStyle w:val="Tablaconcuadrcula"/>
        <w:tblW w:w="8523" w:type="dxa"/>
        <w:tblLayout w:type="fixed"/>
        <w:tblLook w:val="04A0" w:firstRow="1" w:lastRow="0" w:firstColumn="1" w:lastColumn="0" w:noHBand="0" w:noVBand="1"/>
      </w:tblPr>
      <w:tblGrid>
        <w:gridCol w:w="2122"/>
        <w:gridCol w:w="6401"/>
      </w:tblGrid>
      <w:tr w:rsidR="00B87821" w:rsidRPr="00597FC0" w14:paraId="29F56BD2" w14:textId="77777777" w:rsidTr="00514A40">
        <w:tc>
          <w:tcPr>
            <w:tcW w:w="2122" w:type="dxa"/>
          </w:tcPr>
          <w:p w14:paraId="08FA5FB5" w14:textId="77777777" w:rsidR="00B87821" w:rsidRPr="00597FC0" w:rsidRDefault="00B87821" w:rsidP="00597FC0">
            <w:pPr>
              <w:jc w:val="center"/>
              <w:rPr>
                <w:rFonts w:cstheme="minorHAnsi"/>
                <w:b/>
                <w:sz w:val="24"/>
                <w:szCs w:val="24"/>
              </w:rPr>
            </w:pPr>
            <w:r w:rsidRPr="00597FC0">
              <w:rPr>
                <w:rFonts w:cstheme="minorHAnsi"/>
                <w:b/>
                <w:sz w:val="24"/>
                <w:szCs w:val="24"/>
              </w:rPr>
              <w:t>Ciudad/CCAA</w:t>
            </w:r>
          </w:p>
        </w:tc>
        <w:tc>
          <w:tcPr>
            <w:tcW w:w="6401" w:type="dxa"/>
          </w:tcPr>
          <w:p w14:paraId="0836660B" w14:textId="1D09E3A9" w:rsidR="00B87821" w:rsidRPr="00597FC0" w:rsidRDefault="00597FC0" w:rsidP="00597FC0">
            <w:pPr>
              <w:jc w:val="center"/>
              <w:rPr>
                <w:rFonts w:cstheme="minorHAnsi"/>
                <w:b/>
                <w:sz w:val="24"/>
                <w:szCs w:val="24"/>
              </w:rPr>
            </w:pPr>
            <w:proofErr w:type="spellStart"/>
            <w:r>
              <w:rPr>
                <w:rFonts w:cstheme="minorHAnsi"/>
                <w:b/>
                <w:sz w:val="24"/>
                <w:szCs w:val="24"/>
              </w:rPr>
              <w:t>Contratos</w:t>
            </w:r>
            <w:proofErr w:type="spellEnd"/>
            <w:r>
              <w:rPr>
                <w:rFonts w:cstheme="minorHAnsi"/>
                <w:b/>
                <w:sz w:val="24"/>
                <w:szCs w:val="24"/>
              </w:rPr>
              <w:t xml:space="preserve"> </w:t>
            </w:r>
            <w:proofErr w:type="spellStart"/>
            <w:r>
              <w:rPr>
                <w:rFonts w:cstheme="minorHAnsi"/>
                <w:b/>
                <w:sz w:val="24"/>
                <w:szCs w:val="24"/>
              </w:rPr>
              <w:t>reservados</w:t>
            </w:r>
            <w:proofErr w:type="spellEnd"/>
          </w:p>
        </w:tc>
      </w:tr>
      <w:tr w:rsidR="00B87821" w:rsidRPr="00597FC0" w14:paraId="61F2D019" w14:textId="77777777" w:rsidTr="00514A40">
        <w:tc>
          <w:tcPr>
            <w:tcW w:w="2122" w:type="dxa"/>
          </w:tcPr>
          <w:p w14:paraId="47361721" w14:textId="77777777" w:rsidR="00B87821" w:rsidRPr="00597FC0" w:rsidRDefault="00B87821" w:rsidP="000F7900">
            <w:pPr>
              <w:rPr>
                <w:rFonts w:cstheme="minorHAnsi"/>
                <w:sz w:val="24"/>
                <w:szCs w:val="24"/>
              </w:rPr>
            </w:pPr>
            <w:r w:rsidRPr="00597FC0">
              <w:rPr>
                <w:rFonts w:cstheme="minorHAnsi"/>
                <w:sz w:val="24"/>
                <w:szCs w:val="24"/>
              </w:rPr>
              <w:t>Barcelona</w:t>
            </w:r>
          </w:p>
        </w:tc>
        <w:tc>
          <w:tcPr>
            <w:tcW w:w="6401" w:type="dxa"/>
          </w:tcPr>
          <w:p w14:paraId="226042E3" w14:textId="67B12814" w:rsidR="00B87821" w:rsidRPr="00597FC0" w:rsidRDefault="00B87821" w:rsidP="00D87A5D">
            <w:pPr>
              <w:rPr>
                <w:rFonts w:cstheme="minorHAnsi"/>
                <w:sz w:val="24"/>
                <w:szCs w:val="24"/>
                <w:lang w:val="es-ES"/>
              </w:rPr>
            </w:pPr>
            <w:r w:rsidRPr="00597FC0">
              <w:rPr>
                <w:rFonts w:cstheme="minorHAnsi"/>
                <w:sz w:val="24"/>
                <w:szCs w:val="24"/>
                <w:lang w:val="es-ES"/>
              </w:rPr>
              <w:t>Se fijará una cantidad global para ser adjudicada a través de la reserva social. Dicha cantidad no será inferior a 5 millones de €. La reserva social aplicada a las empresas de inserción y las entidades sin ánimo de lucro se aplicará exclusivamente en contratos menores y procedimientos negociados sin publicidad. La reserva a centros especiales de trabajo podrá aplicarse sin límite de cantidad ni procedimiento.</w:t>
            </w:r>
          </w:p>
        </w:tc>
      </w:tr>
      <w:tr w:rsidR="00B87821" w:rsidRPr="00597FC0" w14:paraId="2EB55E6B" w14:textId="77777777" w:rsidTr="00514A40">
        <w:tc>
          <w:tcPr>
            <w:tcW w:w="2122" w:type="dxa"/>
          </w:tcPr>
          <w:p w14:paraId="3B26382B" w14:textId="77777777" w:rsidR="00B87821" w:rsidRPr="00597FC0" w:rsidRDefault="00B87821" w:rsidP="000F7900">
            <w:pPr>
              <w:rPr>
                <w:rFonts w:cstheme="minorHAnsi"/>
                <w:sz w:val="24"/>
                <w:szCs w:val="24"/>
              </w:rPr>
            </w:pPr>
            <w:r w:rsidRPr="00597FC0">
              <w:rPr>
                <w:rFonts w:cstheme="minorHAnsi"/>
                <w:sz w:val="24"/>
                <w:szCs w:val="24"/>
              </w:rPr>
              <w:t>Aviles</w:t>
            </w:r>
          </w:p>
        </w:tc>
        <w:tc>
          <w:tcPr>
            <w:tcW w:w="6401" w:type="dxa"/>
          </w:tcPr>
          <w:p w14:paraId="4445AD20" w14:textId="6329272F" w:rsidR="00B87821" w:rsidRPr="00597FC0" w:rsidRDefault="00B87821" w:rsidP="000F7900">
            <w:pPr>
              <w:rPr>
                <w:rFonts w:cstheme="minorHAnsi"/>
                <w:sz w:val="24"/>
                <w:szCs w:val="24"/>
                <w:lang w:val="es-ES"/>
              </w:rPr>
            </w:pPr>
            <w:r w:rsidRPr="00597FC0">
              <w:rPr>
                <w:rFonts w:cstheme="minorHAnsi"/>
                <w:sz w:val="24"/>
                <w:szCs w:val="24"/>
                <w:lang w:val="es-ES"/>
              </w:rPr>
              <w:t xml:space="preserve">Artículo </w:t>
            </w:r>
            <w:r w:rsidR="00597FC0" w:rsidRPr="00597FC0">
              <w:rPr>
                <w:rFonts w:cstheme="minorHAnsi"/>
                <w:sz w:val="24"/>
                <w:szCs w:val="24"/>
                <w:lang w:val="es-ES"/>
              </w:rPr>
              <w:t xml:space="preserve">2. — </w:t>
            </w:r>
            <w:r w:rsidRPr="00597FC0">
              <w:rPr>
                <w:rFonts w:cstheme="minorHAnsi"/>
                <w:sz w:val="24"/>
                <w:szCs w:val="24"/>
                <w:lang w:val="es-ES"/>
              </w:rPr>
              <w:t>Contratos a los que se aplica la reserva.</w:t>
            </w:r>
          </w:p>
          <w:p w14:paraId="400F86DB" w14:textId="77777777" w:rsidR="00B87821" w:rsidRPr="00597FC0" w:rsidRDefault="00B87821" w:rsidP="000F7900">
            <w:pPr>
              <w:rPr>
                <w:rFonts w:cstheme="minorHAnsi"/>
                <w:sz w:val="24"/>
                <w:szCs w:val="24"/>
                <w:lang w:val="es-ES"/>
              </w:rPr>
            </w:pPr>
            <w:r w:rsidRPr="00597FC0">
              <w:rPr>
                <w:rFonts w:cstheme="minorHAnsi"/>
                <w:sz w:val="24"/>
                <w:szCs w:val="24"/>
                <w:lang w:val="es-ES"/>
              </w:rPr>
              <w:t>Serán contratos reservados aquellos cuyo objeto facilite la contratación de mano de obra intensiva y de escasa cualificación que permita una adecuada labor de acompañamiento y seguimiento y en los que se limita la participación en el proceso de adjudicación a programas de empleo protegido y a las entidades señaladas en el artículo 4.</w:t>
            </w:r>
          </w:p>
        </w:tc>
      </w:tr>
      <w:tr w:rsidR="00B87821" w:rsidRPr="00597FC0" w14:paraId="72DE5771" w14:textId="77777777" w:rsidTr="00514A40">
        <w:tc>
          <w:tcPr>
            <w:tcW w:w="2122" w:type="dxa"/>
          </w:tcPr>
          <w:p w14:paraId="7EF4070F" w14:textId="77777777" w:rsidR="00B87821" w:rsidRPr="00597FC0" w:rsidRDefault="00B87821" w:rsidP="000F7900">
            <w:pPr>
              <w:rPr>
                <w:rFonts w:cstheme="minorHAnsi"/>
                <w:sz w:val="24"/>
                <w:szCs w:val="24"/>
                <w:lang w:val="es-ES"/>
              </w:rPr>
            </w:pPr>
            <w:r w:rsidRPr="00597FC0">
              <w:rPr>
                <w:rFonts w:cstheme="minorHAnsi"/>
                <w:sz w:val="24"/>
                <w:szCs w:val="24"/>
                <w:lang w:val="es-ES"/>
              </w:rPr>
              <w:t>Castilla León</w:t>
            </w:r>
          </w:p>
        </w:tc>
        <w:tc>
          <w:tcPr>
            <w:tcW w:w="6401" w:type="dxa"/>
          </w:tcPr>
          <w:p w14:paraId="72BFC2A2" w14:textId="77777777" w:rsidR="00B87821" w:rsidRPr="00597FC0" w:rsidRDefault="00B87821" w:rsidP="000F7900">
            <w:pPr>
              <w:rPr>
                <w:rFonts w:cstheme="minorHAnsi"/>
                <w:sz w:val="24"/>
                <w:szCs w:val="24"/>
                <w:lang w:val="es-ES"/>
              </w:rPr>
            </w:pPr>
            <w:r w:rsidRPr="00597FC0">
              <w:rPr>
                <w:rFonts w:cstheme="minorHAnsi"/>
                <w:sz w:val="24"/>
                <w:szCs w:val="24"/>
                <w:lang w:val="es-ES"/>
              </w:rPr>
              <w:t>Los contratos reservados representarán en cómputo global anual el 6,5% del presupuesto total adjudicado en el ejercicio presupuestario inmediatamente anterior para el conjunto de actividades que figuran en el Anexo I.</w:t>
            </w:r>
          </w:p>
          <w:p w14:paraId="419AA82E" w14:textId="77777777" w:rsidR="00B87821" w:rsidRPr="00597FC0" w:rsidRDefault="00B87821" w:rsidP="000F7900">
            <w:pPr>
              <w:rPr>
                <w:rFonts w:cstheme="minorHAnsi"/>
                <w:sz w:val="24"/>
                <w:szCs w:val="24"/>
                <w:lang w:val="es-ES"/>
              </w:rPr>
            </w:pPr>
            <w:r w:rsidRPr="00597FC0">
              <w:rPr>
                <w:rFonts w:cstheme="minorHAnsi"/>
                <w:sz w:val="24"/>
                <w:szCs w:val="24"/>
                <w:lang w:val="es-ES"/>
              </w:rPr>
              <w:t>En ningún caso la reserva de contratos podrá suponer una restricción o una limitación a la competencia contraria a la normativa comunitaria.</w:t>
            </w:r>
          </w:p>
          <w:p w14:paraId="6532B2C4" w14:textId="77777777" w:rsidR="00B87821" w:rsidRPr="00597FC0" w:rsidRDefault="00B87821" w:rsidP="000F7900">
            <w:pPr>
              <w:rPr>
                <w:rFonts w:cstheme="minorHAnsi"/>
                <w:sz w:val="24"/>
                <w:szCs w:val="24"/>
                <w:lang w:val="es-ES"/>
              </w:rPr>
            </w:pPr>
            <w:r w:rsidRPr="00597FC0">
              <w:rPr>
                <w:rFonts w:cstheme="minorHAnsi"/>
                <w:sz w:val="24"/>
                <w:szCs w:val="24"/>
                <w:lang w:val="es-ES"/>
              </w:rPr>
              <w:t xml:space="preserve">Los contratos que pueden ser objeto de reserva figuran con carácter enunciativo y no tasado en el Anexo III. </w:t>
            </w:r>
          </w:p>
          <w:p w14:paraId="65010309" w14:textId="77777777" w:rsidR="00B87821" w:rsidRPr="00597FC0" w:rsidRDefault="00B87821" w:rsidP="000F7900">
            <w:pPr>
              <w:rPr>
                <w:rFonts w:cstheme="minorHAnsi"/>
                <w:sz w:val="24"/>
                <w:szCs w:val="24"/>
                <w:lang w:val="es-ES"/>
              </w:rPr>
            </w:pPr>
            <w:r w:rsidRPr="00597FC0">
              <w:rPr>
                <w:rFonts w:cstheme="minorHAnsi"/>
                <w:sz w:val="24"/>
                <w:szCs w:val="24"/>
                <w:lang w:val="es-ES"/>
              </w:rPr>
              <w:t xml:space="preserve">Cuando el contrato en cuestión se adjudique como contrato menor o por procedimiento negociado sin publicidad deberá calificarse por el órgano de </w:t>
            </w:r>
            <w:r w:rsidRPr="00597FC0">
              <w:rPr>
                <w:rFonts w:cstheme="minorHAnsi"/>
                <w:sz w:val="24"/>
                <w:szCs w:val="24"/>
                <w:lang w:val="es-ES"/>
              </w:rPr>
              <w:lastRenderedPageBreak/>
              <w:t>contratación como «Contrato Reservado».</w:t>
            </w:r>
          </w:p>
        </w:tc>
      </w:tr>
      <w:tr w:rsidR="00B87821" w:rsidRPr="00597FC0" w14:paraId="55FF1840" w14:textId="77777777" w:rsidTr="00514A40">
        <w:tc>
          <w:tcPr>
            <w:tcW w:w="2122" w:type="dxa"/>
          </w:tcPr>
          <w:p w14:paraId="64F5D33D" w14:textId="77777777" w:rsidR="00B87821" w:rsidRPr="00597FC0" w:rsidRDefault="00B87821" w:rsidP="000F7900">
            <w:pPr>
              <w:rPr>
                <w:rFonts w:cstheme="minorHAnsi"/>
                <w:sz w:val="24"/>
                <w:szCs w:val="24"/>
                <w:lang w:val="es-ES"/>
              </w:rPr>
            </w:pPr>
            <w:r w:rsidRPr="00597FC0">
              <w:rPr>
                <w:rFonts w:cstheme="minorHAnsi"/>
                <w:sz w:val="24"/>
                <w:szCs w:val="24"/>
                <w:lang w:val="es-ES"/>
              </w:rPr>
              <w:lastRenderedPageBreak/>
              <w:t>Baleares</w:t>
            </w:r>
          </w:p>
        </w:tc>
        <w:tc>
          <w:tcPr>
            <w:tcW w:w="6401" w:type="dxa"/>
          </w:tcPr>
          <w:p w14:paraId="45B5A659" w14:textId="77777777" w:rsidR="00B87821" w:rsidRPr="00597FC0" w:rsidRDefault="00B87821" w:rsidP="000F7900">
            <w:pPr>
              <w:rPr>
                <w:rFonts w:cstheme="minorHAnsi"/>
                <w:sz w:val="24"/>
                <w:szCs w:val="24"/>
                <w:lang w:val="es-ES"/>
              </w:rPr>
            </w:pPr>
            <w:r w:rsidRPr="00597FC0">
              <w:rPr>
                <w:rFonts w:cstheme="minorHAnsi"/>
                <w:sz w:val="24"/>
                <w:szCs w:val="24"/>
                <w:lang w:val="es-ES"/>
              </w:rPr>
              <w:t>Primero. Fijar el porcentaje mínimo del 3 % de reserva del derecho a participar en los procedimientos de adjudicación de determinados</w:t>
            </w:r>
          </w:p>
          <w:p w14:paraId="64BB8058" w14:textId="77777777" w:rsidR="00B87821" w:rsidRPr="00597FC0" w:rsidRDefault="00B87821" w:rsidP="000F7900">
            <w:pPr>
              <w:rPr>
                <w:rFonts w:cstheme="minorHAnsi"/>
                <w:sz w:val="24"/>
                <w:szCs w:val="24"/>
                <w:lang w:val="es-ES"/>
              </w:rPr>
            </w:pPr>
            <w:r w:rsidRPr="00597FC0">
              <w:rPr>
                <w:rFonts w:cstheme="minorHAnsi"/>
                <w:sz w:val="24"/>
                <w:szCs w:val="24"/>
                <w:lang w:val="es-ES"/>
              </w:rPr>
              <w:t>contratos o de determinados lotes de estos contratos, así como de reserva de la ejecución, a los centros especiales de empleo, a las empresas</w:t>
            </w:r>
          </w:p>
          <w:p w14:paraId="08378BE9" w14:textId="77777777" w:rsidR="00B87821" w:rsidRPr="00597FC0" w:rsidRDefault="00B87821" w:rsidP="000F7900">
            <w:pPr>
              <w:rPr>
                <w:rFonts w:cstheme="minorHAnsi"/>
                <w:sz w:val="24"/>
                <w:szCs w:val="24"/>
                <w:lang w:val="es-ES"/>
              </w:rPr>
            </w:pPr>
            <w:r w:rsidRPr="00597FC0">
              <w:rPr>
                <w:rFonts w:cstheme="minorHAnsi"/>
                <w:sz w:val="24"/>
                <w:szCs w:val="24"/>
                <w:lang w:val="es-ES"/>
              </w:rPr>
              <w:t>de inserción</w:t>
            </w:r>
          </w:p>
        </w:tc>
      </w:tr>
      <w:tr w:rsidR="00B87821" w:rsidRPr="00597FC0" w14:paraId="3CBD3137" w14:textId="77777777" w:rsidTr="00514A40">
        <w:tc>
          <w:tcPr>
            <w:tcW w:w="2122" w:type="dxa"/>
          </w:tcPr>
          <w:p w14:paraId="36522857" w14:textId="77777777" w:rsidR="00B87821" w:rsidRPr="00597FC0" w:rsidRDefault="00B87821" w:rsidP="000F7900">
            <w:pPr>
              <w:rPr>
                <w:rFonts w:cstheme="minorHAnsi"/>
                <w:sz w:val="24"/>
                <w:szCs w:val="24"/>
                <w:lang w:val="es-ES"/>
              </w:rPr>
            </w:pPr>
            <w:r w:rsidRPr="00597FC0">
              <w:rPr>
                <w:rFonts w:cstheme="minorHAnsi"/>
                <w:sz w:val="24"/>
                <w:szCs w:val="24"/>
                <w:lang w:val="es-ES"/>
              </w:rPr>
              <w:t>C Valenciana</w:t>
            </w:r>
          </w:p>
        </w:tc>
        <w:tc>
          <w:tcPr>
            <w:tcW w:w="6401" w:type="dxa"/>
          </w:tcPr>
          <w:p w14:paraId="08E26A53" w14:textId="77777777" w:rsidR="00B87821" w:rsidRPr="00597FC0" w:rsidRDefault="00B87821" w:rsidP="000F7900">
            <w:pPr>
              <w:rPr>
                <w:rFonts w:cstheme="minorHAnsi"/>
                <w:sz w:val="24"/>
                <w:szCs w:val="24"/>
                <w:lang w:val="es-ES"/>
              </w:rPr>
            </w:pPr>
            <w:r w:rsidRPr="00597FC0">
              <w:rPr>
                <w:rFonts w:cstheme="minorHAnsi"/>
                <w:sz w:val="24"/>
                <w:szCs w:val="24"/>
                <w:lang w:val="es-ES"/>
              </w:rPr>
              <w:t>Contratos de reserva</w:t>
            </w:r>
          </w:p>
          <w:p w14:paraId="7115A806" w14:textId="77777777" w:rsidR="00B87821" w:rsidRPr="00597FC0" w:rsidRDefault="00B87821" w:rsidP="000F7900">
            <w:pPr>
              <w:rPr>
                <w:rFonts w:cstheme="minorHAnsi"/>
                <w:sz w:val="24"/>
                <w:szCs w:val="24"/>
                <w:lang w:val="es-ES"/>
              </w:rPr>
            </w:pPr>
            <w:r w:rsidRPr="00597FC0">
              <w:rPr>
                <w:rFonts w:cstheme="minorHAnsi"/>
                <w:sz w:val="24"/>
                <w:szCs w:val="24"/>
                <w:lang w:val="es-ES"/>
              </w:rPr>
              <w:t>d) Los objetos contractuales susceptibles de reserva son las obras de</w:t>
            </w:r>
          </w:p>
          <w:p w14:paraId="66DBDF05" w14:textId="77777777" w:rsidR="00B87821" w:rsidRPr="00597FC0" w:rsidRDefault="00B87821" w:rsidP="000F7900">
            <w:pPr>
              <w:rPr>
                <w:rFonts w:cstheme="minorHAnsi"/>
                <w:sz w:val="24"/>
                <w:szCs w:val="24"/>
                <w:lang w:val="es-ES"/>
              </w:rPr>
            </w:pPr>
            <w:r w:rsidRPr="00597FC0">
              <w:rPr>
                <w:rFonts w:cstheme="minorHAnsi"/>
                <w:sz w:val="24"/>
                <w:szCs w:val="24"/>
                <w:lang w:val="es-ES"/>
              </w:rPr>
              <w:t>conservación y los servicios de mantenimiento y conservación de bienes</w:t>
            </w:r>
          </w:p>
          <w:p w14:paraId="1C07B1F0" w14:textId="77777777" w:rsidR="00B87821" w:rsidRPr="00597FC0" w:rsidRDefault="00B87821" w:rsidP="000F7900">
            <w:pPr>
              <w:rPr>
                <w:rFonts w:cstheme="minorHAnsi"/>
                <w:sz w:val="24"/>
                <w:szCs w:val="24"/>
                <w:lang w:val="es-ES"/>
              </w:rPr>
            </w:pPr>
            <w:r w:rsidRPr="00597FC0">
              <w:rPr>
                <w:rFonts w:cstheme="minorHAnsi"/>
                <w:sz w:val="24"/>
                <w:szCs w:val="24"/>
                <w:lang w:val="es-ES"/>
              </w:rPr>
              <w:t>inmuebles, los servicios de mensajería, correspondencia y distribución,</w:t>
            </w:r>
          </w:p>
          <w:p w14:paraId="6E4205F9" w14:textId="77777777" w:rsidR="00B87821" w:rsidRPr="00597FC0" w:rsidRDefault="00B87821" w:rsidP="000F7900">
            <w:pPr>
              <w:rPr>
                <w:rFonts w:cstheme="minorHAnsi"/>
                <w:sz w:val="24"/>
                <w:szCs w:val="24"/>
                <w:lang w:val="es-ES"/>
              </w:rPr>
            </w:pPr>
            <w:r w:rsidRPr="00597FC0">
              <w:rPr>
                <w:rFonts w:cstheme="minorHAnsi"/>
                <w:sz w:val="24"/>
                <w:szCs w:val="24"/>
                <w:lang w:val="es-ES"/>
              </w:rPr>
              <w:t>artes gráficas, limpieza y lavandería, restauración, recogida y transporte</w:t>
            </w:r>
          </w:p>
          <w:p w14:paraId="75EC0DBA" w14:textId="77777777" w:rsidR="00B87821" w:rsidRPr="00597FC0" w:rsidRDefault="00B87821" w:rsidP="000F7900">
            <w:pPr>
              <w:rPr>
                <w:rFonts w:cstheme="minorHAnsi"/>
                <w:sz w:val="24"/>
                <w:szCs w:val="24"/>
                <w:lang w:val="es-ES"/>
              </w:rPr>
            </w:pPr>
            <w:r w:rsidRPr="00597FC0">
              <w:rPr>
                <w:rFonts w:cstheme="minorHAnsi"/>
                <w:sz w:val="24"/>
                <w:szCs w:val="24"/>
                <w:lang w:val="es-ES"/>
              </w:rPr>
              <w:t>de residuos, hostelería, servicios sociales, logística, hospedaje y turismo</w:t>
            </w:r>
          </w:p>
          <w:p w14:paraId="7BD7848A" w14:textId="77777777" w:rsidR="00B87821" w:rsidRPr="00597FC0" w:rsidRDefault="00B87821" w:rsidP="000F7900">
            <w:pPr>
              <w:rPr>
                <w:rFonts w:cstheme="minorHAnsi"/>
                <w:sz w:val="24"/>
                <w:szCs w:val="24"/>
                <w:lang w:val="es-ES"/>
              </w:rPr>
            </w:pPr>
            <w:r w:rsidRPr="00597FC0">
              <w:rPr>
                <w:rFonts w:cstheme="minorHAnsi"/>
                <w:sz w:val="24"/>
                <w:szCs w:val="24"/>
                <w:lang w:val="es-ES"/>
              </w:rPr>
              <w:t>rural, así como los servicios y los suministros auxiliares para el funcionamiento</w:t>
            </w:r>
          </w:p>
          <w:p w14:paraId="16049899" w14:textId="77777777" w:rsidR="00B87821" w:rsidRPr="00597FC0" w:rsidRDefault="00B87821" w:rsidP="000F7900">
            <w:pPr>
              <w:rPr>
                <w:rFonts w:cstheme="minorHAnsi"/>
                <w:sz w:val="24"/>
                <w:szCs w:val="24"/>
                <w:lang w:val="es-ES"/>
              </w:rPr>
            </w:pPr>
            <w:r w:rsidRPr="00597FC0">
              <w:rPr>
                <w:rFonts w:cstheme="minorHAnsi"/>
                <w:sz w:val="24"/>
                <w:szCs w:val="24"/>
                <w:lang w:val="es-ES"/>
              </w:rPr>
              <w:t>de la Administración.</w:t>
            </w:r>
          </w:p>
          <w:p w14:paraId="495EDFCD" w14:textId="77777777" w:rsidR="00B87821" w:rsidRPr="00597FC0" w:rsidRDefault="00B87821" w:rsidP="000F7900">
            <w:pPr>
              <w:rPr>
                <w:rFonts w:cstheme="minorHAnsi"/>
                <w:sz w:val="24"/>
                <w:szCs w:val="24"/>
                <w:lang w:val="es-ES"/>
              </w:rPr>
            </w:pPr>
            <w:r w:rsidRPr="00597FC0">
              <w:rPr>
                <w:rFonts w:cstheme="minorHAnsi"/>
                <w:sz w:val="24"/>
                <w:szCs w:val="24"/>
                <w:lang w:val="es-ES"/>
              </w:rPr>
              <w:t>3. Los contratos reservados representarán en cómputo anual, al</w:t>
            </w:r>
          </w:p>
          <w:p w14:paraId="57BC9A7B" w14:textId="77777777" w:rsidR="00B87821" w:rsidRPr="00597FC0" w:rsidRDefault="00B87821" w:rsidP="000F7900">
            <w:pPr>
              <w:rPr>
                <w:rFonts w:cstheme="minorHAnsi"/>
                <w:sz w:val="24"/>
                <w:szCs w:val="24"/>
                <w:lang w:val="es-ES"/>
              </w:rPr>
            </w:pPr>
            <w:r w:rsidRPr="00597FC0">
              <w:rPr>
                <w:rFonts w:cstheme="minorHAnsi"/>
                <w:sz w:val="24"/>
                <w:szCs w:val="24"/>
                <w:lang w:val="es-ES"/>
              </w:rPr>
              <w:t xml:space="preserve">menos, el 3 % del número de contratos adjudicados en el ejercicio presupuestario inmediatamente anterior, en cada una de las </w:t>
            </w:r>
            <w:proofErr w:type="spellStart"/>
            <w:r w:rsidRPr="00597FC0">
              <w:rPr>
                <w:rFonts w:cstheme="minorHAnsi"/>
                <w:sz w:val="24"/>
                <w:szCs w:val="24"/>
                <w:lang w:val="es-ES"/>
              </w:rPr>
              <w:t>consellerías</w:t>
            </w:r>
            <w:proofErr w:type="spellEnd"/>
          </w:p>
          <w:p w14:paraId="797F46CF" w14:textId="77777777" w:rsidR="00B87821" w:rsidRPr="00597FC0" w:rsidRDefault="00B87821" w:rsidP="000F7900">
            <w:pPr>
              <w:rPr>
                <w:rFonts w:cstheme="minorHAnsi"/>
                <w:sz w:val="24"/>
                <w:szCs w:val="24"/>
                <w:lang w:val="es-ES"/>
              </w:rPr>
            </w:pPr>
            <w:r w:rsidRPr="00597FC0">
              <w:rPr>
                <w:rFonts w:cstheme="minorHAnsi"/>
                <w:sz w:val="24"/>
                <w:szCs w:val="24"/>
                <w:lang w:val="es-ES"/>
              </w:rPr>
              <w:t>en que se estructura el Consell, así como en cada una de las entidades</w:t>
            </w:r>
          </w:p>
          <w:p w14:paraId="22CC6325" w14:textId="77777777" w:rsidR="00B87821" w:rsidRPr="00597FC0" w:rsidRDefault="00B87821" w:rsidP="000F7900">
            <w:pPr>
              <w:rPr>
                <w:rFonts w:cstheme="minorHAnsi"/>
                <w:sz w:val="24"/>
                <w:szCs w:val="24"/>
                <w:lang w:val="es-ES"/>
              </w:rPr>
            </w:pPr>
            <w:r w:rsidRPr="00597FC0">
              <w:rPr>
                <w:rFonts w:cstheme="minorHAnsi"/>
                <w:sz w:val="24"/>
                <w:szCs w:val="24"/>
                <w:lang w:val="es-ES"/>
              </w:rPr>
              <w:t>del sector público dependientes de la Generalitat, debiendo informarse</w:t>
            </w:r>
          </w:p>
          <w:p w14:paraId="1604444E" w14:textId="77777777" w:rsidR="00B87821" w:rsidRPr="00597FC0" w:rsidRDefault="00B87821" w:rsidP="000F7900">
            <w:pPr>
              <w:rPr>
                <w:rFonts w:cstheme="minorHAnsi"/>
                <w:sz w:val="24"/>
                <w:szCs w:val="24"/>
                <w:lang w:val="es-ES"/>
              </w:rPr>
            </w:pPr>
            <w:r w:rsidRPr="00597FC0">
              <w:rPr>
                <w:rFonts w:cstheme="minorHAnsi"/>
                <w:sz w:val="24"/>
                <w:szCs w:val="24"/>
                <w:lang w:val="es-ES"/>
              </w:rPr>
              <w:lastRenderedPageBreak/>
              <w:t>motivadamente en el caso de que no logre alcanzarse dicha cifra</w:t>
            </w:r>
          </w:p>
        </w:tc>
      </w:tr>
      <w:tr w:rsidR="00B87821" w:rsidRPr="00597FC0" w14:paraId="5F961D29" w14:textId="77777777" w:rsidTr="00514A40">
        <w:tc>
          <w:tcPr>
            <w:tcW w:w="2122" w:type="dxa"/>
          </w:tcPr>
          <w:p w14:paraId="7446A1AC" w14:textId="77777777" w:rsidR="00B87821" w:rsidRPr="00597FC0" w:rsidRDefault="00B87821" w:rsidP="000F7900">
            <w:pPr>
              <w:rPr>
                <w:rFonts w:cstheme="minorHAnsi"/>
                <w:sz w:val="24"/>
                <w:szCs w:val="24"/>
              </w:rPr>
            </w:pPr>
            <w:r w:rsidRPr="00597FC0">
              <w:rPr>
                <w:rFonts w:cstheme="minorHAnsi"/>
                <w:sz w:val="24"/>
                <w:szCs w:val="24"/>
              </w:rPr>
              <w:lastRenderedPageBreak/>
              <w:t>Castilla La Mancha</w:t>
            </w:r>
          </w:p>
        </w:tc>
        <w:tc>
          <w:tcPr>
            <w:tcW w:w="6401" w:type="dxa"/>
          </w:tcPr>
          <w:p w14:paraId="54B539CC" w14:textId="09AE090D" w:rsidR="00B87821" w:rsidRPr="00597FC0" w:rsidRDefault="00B87821" w:rsidP="000F7900">
            <w:pPr>
              <w:autoSpaceDE w:val="0"/>
              <w:autoSpaceDN w:val="0"/>
              <w:adjustRightInd w:val="0"/>
              <w:rPr>
                <w:rFonts w:cstheme="minorHAnsi"/>
                <w:sz w:val="24"/>
                <w:szCs w:val="24"/>
                <w:lang w:val="es-ES"/>
              </w:rPr>
            </w:pPr>
            <w:r w:rsidRPr="00597FC0">
              <w:rPr>
                <w:rFonts w:cstheme="minorHAnsi"/>
                <w:sz w:val="24"/>
                <w:szCs w:val="24"/>
                <w:lang w:val="es-ES"/>
              </w:rPr>
              <w:t>Asimismo</w:t>
            </w:r>
            <w:r w:rsidR="00D87A5D" w:rsidRPr="00597FC0">
              <w:rPr>
                <w:rFonts w:cstheme="minorHAnsi"/>
                <w:sz w:val="24"/>
                <w:szCs w:val="24"/>
                <w:lang w:val="es-ES"/>
              </w:rPr>
              <w:t>,</w:t>
            </w:r>
            <w:r w:rsidRPr="00597FC0">
              <w:rPr>
                <w:rFonts w:cstheme="minorHAnsi"/>
                <w:sz w:val="24"/>
                <w:szCs w:val="24"/>
                <w:lang w:val="es-ES"/>
              </w:rPr>
              <w:t xml:space="preserve"> establece que el importe anual de los contratos reservados será como mínimo del 6 por ciento del presupuesto total adjudicado en el ejercicio inmediatamente anterior en las áreas de actividad que se determinen.</w:t>
            </w:r>
          </w:p>
          <w:p w14:paraId="477719C1" w14:textId="77777777" w:rsidR="00B87821" w:rsidRPr="00597FC0" w:rsidRDefault="00B87821" w:rsidP="000F7900">
            <w:pPr>
              <w:autoSpaceDE w:val="0"/>
              <w:autoSpaceDN w:val="0"/>
              <w:adjustRightInd w:val="0"/>
              <w:rPr>
                <w:rFonts w:cstheme="minorHAnsi"/>
                <w:sz w:val="24"/>
                <w:szCs w:val="24"/>
                <w:lang w:val="es-ES"/>
              </w:rPr>
            </w:pPr>
            <w:r w:rsidRPr="00597FC0">
              <w:rPr>
                <w:rFonts w:cstheme="minorHAnsi"/>
                <w:sz w:val="24"/>
                <w:szCs w:val="24"/>
                <w:lang w:val="es-ES"/>
              </w:rPr>
              <w:t>De conformidad con lo establecido en dicha disposición adicional, mediante acuerdo de Consejo de Gobierno, a propuesta de la Consejería competente en materia de hacienda, se concretarán las áreas de actividad susceptibles</w:t>
            </w:r>
          </w:p>
          <w:p w14:paraId="3F23E85D" w14:textId="77777777" w:rsidR="00B87821" w:rsidRPr="00597FC0" w:rsidRDefault="00B87821" w:rsidP="000F7900">
            <w:pPr>
              <w:rPr>
                <w:rFonts w:cstheme="minorHAnsi"/>
                <w:sz w:val="24"/>
                <w:szCs w:val="24"/>
                <w:lang w:val="es-ES"/>
              </w:rPr>
            </w:pPr>
            <w:r w:rsidRPr="00597FC0">
              <w:rPr>
                <w:rFonts w:cstheme="minorHAnsi"/>
                <w:sz w:val="24"/>
                <w:szCs w:val="24"/>
                <w:lang w:val="es-ES"/>
              </w:rPr>
              <w:t>de esta reserva y las condiciones mínimas para garantizar su cumplimiento.</w:t>
            </w:r>
          </w:p>
        </w:tc>
      </w:tr>
    </w:tbl>
    <w:p w14:paraId="3DD98584" w14:textId="77777777" w:rsidR="002167B2" w:rsidRPr="00A535BE" w:rsidRDefault="002167B2" w:rsidP="002167B2">
      <w:pPr>
        <w:rPr>
          <w:b/>
          <w:lang w:val="es-ES"/>
        </w:rPr>
      </w:pPr>
    </w:p>
    <w:p w14:paraId="128D4D93" w14:textId="77777777" w:rsidR="00597FC0" w:rsidRDefault="00597FC0">
      <w:pPr>
        <w:rPr>
          <w:b/>
          <w:color w:val="FF0000"/>
          <w:sz w:val="28"/>
          <w:lang w:val="es-ES"/>
        </w:rPr>
      </w:pPr>
      <w:r>
        <w:rPr>
          <w:b/>
          <w:color w:val="FF0000"/>
          <w:sz w:val="28"/>
          <w:lang w:val="es-ES"/>
        </w:rPr>
        <w:br w:type="page"/>
      </w:r>
    </w:p>
    <w:p w14:paraId="5CE3F50A" w14:textId="1F6F794D" w:rsidR="002167B2" w:rsidRPr="00597FC0" w:rsidRDefault="002167B2" w:rsidP="002167B2">
      <w:pPr>
        <w:rPr>
          <w:b/>
          <w:color w:val="FF0000"/>
          <w:sz w:val="28"/>
          <w:lang w:val="es-ES"/>
        </w:rPr>
      </w:pPr>
      <w:r w:rsidRPr="00597FC0">
        <w:rPr>
          <w:b/>
          <w:color w:val="FF0000"/>
          <w:sz w:val="28"/>
          <w:lang w:val="es-ES"/>
        </w:rPr>
        <w:lastRenderedPageBreak/>
        <w:t>Anexo II: Las empresas de inserción y los centros especiales de empleo en Canarias.</w:t>
      </w:r>
    </w:p>
    <w:p w14:paraId="4E4D98A6" w14:textId="6C53CDBE" w:rsidR="00927CB5" w:rsidRPr="00514A40" w:rsidRDefault="00D87A5D" w:rsidP="00E101FA">
      <w:pPr>
        <w:rPr>
          <w:sz w:val="22"/>
          <w:lang w:val="es-ES"/>
        </w:rPr>
      </w:pPr>
      <w:r w:rsidRPr="00514A40">
        <w:rPr>
          <w:sz w:val="22"/>
          <w:lang w:val="es-ES"/>
        </w:rPr>
        <w:t xml:space="preserve">Las empresas de inserción en Canarias están reguladas, además de por la ley 44/2007 estatal, por el Real Decreto 137/2009. El listado de las mismas – y sus actividades – se recoge </w:t>
      </w:r>
      <w:r w:rsidR="00927CB5" w:rsidRPr="00514A40">
        <w:rPr>
          <w:sz w:val="22"/>
          <w:lang w:val="es-ES"/>
        </w:rPr>
        <w:t>en la siguiente tabla:</w:t>
      </w:r>
    </w:p>
    <w:p w14:paraId="407E24F9" w14:textId="2936BEB7" w:rsidR="00927CB5" w:rsidRDefault="00927CB5" w:rsidP="00E101FA">
      <w:pPr>
        <w:rPr>
          <w:lang w:val="es-ES"/>
        </w:rPr>
      </w:pPr>
    </w:p>
    <w:p w14:paraId="125B7AE2" w14:textId="06E4402A" w:rsidR="00927CB5" w:rsidRPr="00597FC0" w:rsidRDefault="00927CB5" w:rsidP="00E101FA">
      <w:pPr>
        <w:rPr>
          <w:lang w:val="es-ES"/>
        </w:rPr>
      </w:pPr>
      <w:r>
        <w:rPr>
          <w:noProof/>
          <w:lang w:val="es-ES" w:eastAsia="es-ES"/>
        </w:rPr>
        <w:drawing>
          <wp:anchor distT="0" distB="0" distL="114300" distR="114300" simplePos="0" relativeHeight="251659264" behindDoc="0" locked="0" layoutInCell="1" allowOverlap="1" wp14:anchorId="425D300F" wp14:editId="1FCC97B2">
            <wp:simplePos x="0" y="0"/>
            <wp:positionH relativeFrom="column">
              <wp:posOffset>-577888</wp:posOffset>
            </wp:positionH>
            <wp:positionV relativeFrom="paragraph">
              <wp:posOffset>152523</wp:posOffset>
            </wp:positionV>
            <wp:extent cx="6585337" cy="3533898"/>
            <wp:effectExtent l="0" t="0" r="0" b="0"/>
            <wp:wrapNone/>
            <wp:docPr id="4" name="Picture 4" descr="../../../../Desktop/Screen%20Shot%202017-06-26%20at%2007.54.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26%20at%2007.54.20.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5337" cy="3533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FB569" w14:textId="77777777" w:rsidR="00927CB5" w:rsidRPr="00597FC0" w:rsidRDefault="00927CB5" w:rsidP="00927CB5">
      <w:pPr>
        <w:rPr>
          <w:lang w:val="es-ES"/>
        </w:rPr>
      </w:pPr>
    </w:p>
    <w:p w14:paraId="23255C04" w14:textId="77777777" w:rsidR="00927CB5" w:rsidRPr="00597FC0" w:rsidRDefault="00927CB5" w:rsidP="00927CB5">
      <w:pPr>
        <w:rPr>
          <w:lang w:val="es-ES"/>
        </w:rPr>
      </w:pPr>
    </w:p>
    <w:p w14:paraId="3B3D80BC" w14:textId="77777777" w:rsidR="00927CB5" w:rsidRPr="00597FC0" w:rsidRDefault="00927CB5" w:rsidP="00927CB5">
      <w:pPr>
        <w:rPr>
          <w:lang w:val="es-ES"/>
        </w:rPr>
      </w:pPr>
    </w:p>
    <w:p w14:paraId="79EEC6A9" w14:textId="77777777" w:rsidR="00927CB5" w:rsidRPr="00597FC0" w:rsidRDefault="00927CB5" w:rsidP="00927CB5">
      <w:pPr>
        <w:rPr>
          <w:lang w:val="es-ES"/>
        </w:rPr>
      </w:pPr>
    </w:p>
    <w:p w14:paraId="66402561" w14:textId="77777777" w:rsidR="00927CB5" w:rsidRPr="00597FC0" w:rsidRDefault="00927CB5" w:rsidP="00927CB5">
      <w:pPr>
        <w:rPr>
          <w:lang w:val="es-ES"/>
        </w:rPr>
      </w:pPr>
    </w:p>
    <w:p w14:paraId="47598749" w14:textId="77777777" w:rsidR="00927CB5" w:rsidRPr="00597FC0" w:rsidRDefault="00927CB5" w:rsidP="00927CB5">
      <w:pPr>
        <w:rPr>
          <w:lang w:val="es-ES"/>
        </w:rPr>
      </w:pPr>
    </w:p>
    <w:p w14:paraId="52159791" w14:textId="77777777" w:rsidR="00927CB5" w:rsidRPr="00597FC0" w:rsidRDefault="00927CB5" w:rsidP="00927CB5">
      <w:pPr>
        <w:rPr>
          <w:lang w:val="es-ES"/>
        </w:rPr>
      </w:pPr>
    </w:p>
    <w:p w14:paraId="26673D7F" w14:textId="77777777" w:rsidR="00927CB5" w:rsidRPr="00597FC0" w:rsidRDefault="00927CB5" w:rsidP="00927CB5">
      <w:pPr>
        <w:rPr>
          <w:lang w:val="es-ES"/>
        </w:rPr>
      </w:pPr>
    </w:p>
    <w:p w14:paraId="0FEF30E8" w14:textId="77777777" w:rsidR="00927CB5" w:rsidRPr="00597FC0" w:rsidRDefault="00927CB5" w:rsidP="00927CB5">
      <w:pPr>
        <w:rPr>
          <w:lang w:val="es-ES"/>
        </w:rPr>
      </w:pPr>
    </w:p>
    <w:p w14:paraId="6FB0B642" w14:textId="77777777" w:rsidR="00927CB5" w:rsidRPr="00597FC0" w:rsidRDefault="00927CB5" w:rsidP="00927CB5">
      <w:pPr>
        <w:rPr>
          <w:lang w:val="es-ES"/>
        </w:rPr>
      </w:pPr>
    </w:p>
    <w:p w14:paraId="49C11763" w14:textId="77777777" w:rsidR="00927CB5" w:rsidRPr="00597FC0" w:rsidRDefault="00927CB5" w:rsidP="00927CB5">
      <w:pPr>
        <w:rPr>
          <w:lang w:val="es-ES"/>
        </w:rPr>
      </w:pPr>
    </w:p>
    <w:p w14:paraId="300C6F89" w14:textId="77777777" w:rsidR="00927CB5" w:rsidRPr="00597FC0" w:rsidRDefault="00927CB5" w:rsidP="00927CB5">
      <w:pPr>
        <w:rPr>
          <w:lang w:val="es-ES"/>
        </w:rPr>
      </w:pPr>
    </w:p>
    <w:p w14:paraId="7D7E3D15" w14:textId="3CD12ABD" w:rsidR="00D87A5D" w:rsidRPr="00927CB5" w:rsidRDefault="00927CB5" w:rsidP="003B79F7">
      <w:pPr>
        <w:rPr>
          <w:lang w:val="es-ES"/>
        </w:rPr>
      </w:pPr>
      <w:r w:rsidRPr="00514A40">
        <w:rPr>
          <w:sz w:val="22"/>
          <w:lang w:val="es-ES"/>
        </w:rPr>
        <w:t>Por su parte, el listad</w:t>
      </w:r>
      <w:r w:rsidR="003B79F7" w:rsidRPr="00514A40">
        <w:rPr>
          <w:sz w:val="22"/>
          <w:lang w:val="es-ES"/>
        </w:rPr>
        <w:t>o de Centros Esp</w:t>
      </w:r>
      <w:r w:rsidR="00597FC0" w:rsidRPr="00514A40">
        <w:rPr>
          <w:sz w:val="22"/>
          <w:lang w:val="es-ES"/>
        </w:rPr>
        <w:t>e</w:t>
      </w:r>
      <w:r w:rsidR="003B79F7" w:rsidRPr="00514A40">
        <w:rPr>
          <w:sz w:val="22"/>
          <w:lang w:val="es-ES"/>
        </w:rPr>
        <w:t xml:space="preserve">ciales de Empleo es bastante más extenso y puede encontrarse </w:t>
      </w:r>
      <w:hyperlink r:id="rId13" w:history="1">
        <w:r w:rsidR="003B79F7" w:rsidRPr="00514A40">
          <w:rPr>
            <w:rStyle w:val="Hipervnculo"/>
            <w:sz w:val="22"/>
            <w:lang w:val="es-ES"/>
          </w:rPr>
          <w:t>aquí</w:t>
        </w:r>
      </w:hyperlink>
      <w:r w:rsidR="003B79F7" w:rsidRPr="00514A40">
        <w:rPr>
          <w:sz w:val="22"/>
          <w:lang w:val="es-ES"/>
        </w:rPr>
        <w:t>, dentro del directorio del Gobierno de Canarias</w:t>
      </w:r>
      <w:r w:rsidR="003B79F7">
        <w:rPr>
          <w:lang w:val="es-ES"/>
        </w:rPr>
        <w:t>.</w:t>
      </w:r>
    </w:p>
    <w:sectPr w:rsidR="00D87A5D" w:rsidRPr="00927CB5" w:rsidSect="000569FC">
      <w:footerReference w:type="default" r:id="rId14"/>
      <w:pgSz w:w="11900" w:h="16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F8C63" w14:textId="77777777" w:rsidR="006E69E7" w:rsidRDefault="006E69E7" w:rsidP="00A34889">
      <w:r>
        <w:separator/>
      </w:r>
    </w:p>
  </w:endnote>
  <w:endnote w:type="continuationSeparator" w:id="0">
    <w:p w14:paraId="1DAB1FF6" w14:textId="77777777" w:rsidR="006E69E7" w:rsidRDefault="006E69E7" w:rsidP="00A3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lang w:val="es-ES"/>
      </w:rPr>
      <w:id w:val="-1919011047"/>
      <w:docPartObj>
        <w:docPartGallery w:val="Page Numbers (Bottom of Page)"/>
        <w:docPartUnique/>
      </w:docPartObj>
    </w:sdtPr>
    <w:sdtEndPr/>
    <w:sdtContent>
      <w:sdt>
        <w:sdtPr>
          <w:rPr>
            <w:rFonts w:asciiTheme="majorHAnsi" w:eastAsiaTheme="majorEastAsia" w:hAnsiTheme="majorHAnsi" w:cstheme="majorBidi"/>
            <w:lang w:val="es-ES"/>
          </w:rPr>
          <w:id w:val="216747786"/>
          <w:docPartObj>
            <w:docPartGallery w:val="Page Numbers (Margins)"/>
            <w:docPartUnique/>
          </w:docPartObj>
        </w:sdtPr>
        <w:sdtEndPr/>
        <w:sdtContent>
          <w:p w14:paraId="48C940CF" w14:textId="070E3336" w:rsidR="00A83FDB" w:rsidRDefault="00A83FDB">
            <w:pPr>
              <w:rPr>
                <w:rFonts w:asciiTheme="majorHAnsi" w:eastAsiaTheme="majorEastAsia" w:hAnsiTheme="majorHAnsi" w:cstheme="majorBidi"/>
                <w:lang w:val="es-ES"/>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61312" behindDoc="0" locked="0" layoutInCell="1" allowOverlap="1" wp14:anchorId="25E6A23D" wp14:editId="573406FE">
                      <wp:simplePos x="0" y="0"/>
                      <wp:positionH relativeFrom="margin">
                        <wp:align>center</wp:align>
                      </wp:positionH>
                      <wp:positionV relativeFrom="bottomMargin">
                        <wp:align>center</wp:align>
                      </wp:positionV>
                      <wp:extent cx="626745" cy="626745"/>
                      <wp:effectExtent l="0" t="0" r="1905" b="190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92D050"/>
                              </a:solidFill>
                              <a:ln>
                                <a:noFill/>
                              </a:ln>
                            </wps:spPr>
                            <wps:txbx>
                              <w:txbxContent>
                                <w:p w14:paraId="1BEAD54E" w14:textId="41FE7151" w:rsidR="00A83FDB" w:rsidRDefault="00A83FDB">
                                  <w:pPr>
                                    <w:pStyle w:val="Piedepgina"/>
                                    <w:jc w:val="center"/>
                                    <w:rPr>
                                      <w:b/>
                                      <w:color w:val="FFFFFF" w:themeColor="background1"/>
                                      <w:sz w:val="32"/>
                                      <w:szCs w:val="32"/>
                                    </w:rPr>
                                  </w:pPr>
                                  <w:r>
                                    <w:fldChar w:fldCharType="begin"/>
                                  </w:r>
                                  <w:r>
                                    <w:instrText xml:space="preserve"> PAGE    \* MERGEFORMAT </w:instrText>
                                  </w:r>
                                  <w:r>
                                    <w:fldChar w:fldCharType="separate"/>
                                  </w:r>
                                  <w:r w:rsidR="00F0776D" w:rsidRPr="00F0776D">
                                    <w:rPr>
                                      <w:b/>
                                      <w:noProof/>
                                      <w:color w:val="FFFFFF" w:themeColor="background1"/>
                                      <w:sz w:val="32"/>
                                      <w:szCs w:val="32"/>
                                    </w:rPr>
                                    <w:t>11</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0"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" fillcolor="#92d050" stroked="f">
                      <v:textbox>
                        <w:txbxContent>
                          <w:p w14:paraId="1BEAD54E" w14:textId="41FE7151" w:rsidR="00A83FDB" w:rsidRDefault="00A83FDB">
                            <w:pPr>
                              <w:pStyle w:val="Piedepgina"/>
                              <w:jc w:val="center"/>
                              <w:rPr>
                                <w:b/>
                                <w:color w:val="FFFFFF" w:themeColor="background1"/>
                                <w:sz w:val="32"/>
                                <w:szCs w:val="32"/>
                              </w:rPr>
                            </w:pPr>
                            <w:r>
                              <w:fldChar w:fldCharType="begin"/>
                            </w:r>
                            <w:r>
                              <w:instrText xml:space="preserve"> PAGE    \* MERGEFORMAT </w:instrText>
                            </w:r>
                            <w:r>
                              <w:fldChar w:fldCharType="separate"/>
                            </w:r>
                            <w:r w:rsidR="00F0776D" w:rsidRPr="00F0776D">
                              <w:rPr>
                                <w:b/>
                                <w:noProof/>
                                <w:color w:val="FFFFFF" w:themeColor="background1"/>
                                <w:sz w:val="32"/>
                                <w:szCs w:val="32"/>
                              </w:rPr>
                              <w:t>11</w:t>
                            </w:r>
                            <w:r>
                              <w:rPr>
                                <w:b/>
                                <w:noProof/>
                                <w:color w:val="FFFFFF" w:themeColor="background1"/>
                                <w:sz w:val="32"/>
                                <w:szCs w:val="32"/>
                              </w:rPr>
                              <w:fldChar w:fldCharType="end"/>
                            </w:r>
                          </w:p>
                        </w:txbxContent>
                      </v:textbox>
                      <w10:wrap anchorx="margin" anchory="margin"/>
                    </v:oval>
                  </w:pict>
                </mc:Fallback>
              </mc:AlternateContent>
            </w:r>
          </w:p>
        </w:sdtContent>
      </w:sdt>
    </w:sdtContent>
  </w:sdt>
  <w:p w14:paraId="55872219" w14:textId="77777777" w:rsidR="00A83FDB" w:rsidRDefault="00A83F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9AD21" w14:textId="77777777" w:rsidR="006E69E7" w:rsidRDefault="006E69E7" w:rsidP="00A34889">
      <w:r>
        <w:separator/>
      </w:r>
    </w:p>
  </w:footnote>
  <w:footnote w:type="continuationSeparator" w:id="0">
    <w:p w14:paraId="00E66DFF" w14:textId="77777777" w:rsidR="006E69E7" w:rsidRDefault="006E69E7" w:rsidP="00A34889">
      <w:r>
        <w:continuationSeparator/>
      </w:r>
    </w:p>
  </w:footnote>
  <w:footnote w:id="1">
    <w:p w14:paraId="217BB308" w14:textId="4D5972A5" w:rsidR="0039668E" w:rsidRPr="0039668E" w:rsidRDefault="0039668E">
      <w:pPr>
        <w:pStyle w:val="Textonotapie"/>
        <w:rPr>
          <w:lang w:val="es-ES"/>
        </w:rPr>
      </w:pPr>
      <w:r>
        <w:rPr>
          <w:rStyle w:val="Refdenotaalpie"/>
        </w:rPr>
        <w:footnoteRef/>
      </w:r>
      <w:r w:rsidRPr="0039668E">
        <w:rPr>
          <w:lang w:val="es-ES"/>
        </w:rPr>
        <w:t xml:space="preserve"> </w:t>
      </w:r>
      <w:r w:rsidR="00514A40">
        <w:rPr>
          <w:lang w:val="es-ES"/>
        </w:rPr>
        <w:t>Artículo</w:t>
      </w:r>
      <w:r>
        <w:rPr>
          <w:lang w:val="es-ES"/>
        </w:rPr>
        <w:t xml:space="preserve"> 20 de la Directiva 2014/24/UE sobre contratación pública.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E12A64"/>
    <w:multiLevelType w:val="hybridMultilevel"/>
    <w:tmpl w:val="3CFAB4BA"/>
    <w:lvl w:ilvl="0" w:tplc="76A4D3D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B09"/>
    <w:rsid w:val="000569FC"/>
    <w:rsid w:val="000F0B5A"/>
    <w:rsid w:val="000F2178"/>
    <w:rsid w:val="001357D7"/>
    <w:rsid w:val="001F76AD"/>
    <w:rsid w:val="002167B2"/>
    <w:rsid w:val="002853B3"/>
    <w:rsid w:val="002A05F2"/>
    <w:rsid w:val="00302E7E"/>
    <w:rsid w:val="00316FC0"/>
    <w:rsid w:val="00357A50"/>
    <w:rsid w:val="0039668E"/>
    <w:rsid w:val="003B79F7"/>
    <w:rsid w:val="004A6527"/>
    <w:rsid w:val="00514A40"/>
    <w:rsid w:val="00597FC0"/>
    <w:rsid w:val="005E50A4"/>
    <w:rsid w:val="005F4F7D"/>
    <w:rsid w:val="00621873"/>
    <w:rsid w:val="00642938"/>
    <w:rsid w:val="006A2126"/>
    <w:rsid w:val="006E5875"/>
    <w:rsid w:val="006E69E7"/>
    <w:rsid w:val="007E4352"/>
    <w:rsid w:val="0083386D"/>
    <w:rsid w:val="008407AC"/>
    <w:rsid w:val="0084167D"/>
    <w:rsid w:val="008A53FC"/>
    <w:rsid w:val="008D5355"/>
    <w:rsid w:val="00927CB5"/>
    <w:rsid w:val="009943B0"/>
    <w:rsid w:val="009C2086"/>
    <w:rsid w:val="00A25CEB"/>
    <w:rsid w:val="00A34889"/>
    <w:rsid w:val="00A535BE"/>
    <w:rsid w:val="00A83FDB"/>
    <w:rsid w:val="00AB621D"/>
    <w:rsid w:val="00B32A33"/>
    <w:rsid w:val="00B87821"/>
    <w:rsid w:val="00CB6F02"/>
    <w:rsid w:val="00CC2111"/>
    <w:rsid w:val="00CD1289"/>
    <w:rsid w:val="00D35B09"/>
    <w:rsid w:val="00D435AA"/>
    <w:rsid w:val="00D44E64"/>
    <w:rsid w:val="00D701E8"/>
    <w:rsid w:val="00D76728"/>
    <w:rsid w:val="00D87A5D"/>
    <w:rsid w:val="00E101FA"/>
    <w:rsid w:val="00E2371A"/>
    <w:rsid w:val="00F0776D"/>
    <w:rsid w:val="00F44A4D"/>
    <w:rsid w:val="00F518FF"/>
    <w:rsid w:val="00FA1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D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A40"/>
  </w:style>
  <w:style w:type="paragraph" w:styleId="Ttulo1">
    <w:name w:val="heading 1"/>
    <w:basedOn w:val="Normal"/>
    <w:next w:val="Normal"/>
    <w:link w:val="Ttulo1Car"/>
    <w:uiPriority w:val="9"/>
    <w:qFormat/>
    <w:rsid w:val="00514A40"/>
    <w:pPr>
      <w:pBdr>
        <w:top w:val="single" w:sz="24" w:space="0" w:color="9EC544" w:themeColor="accent1"/>
        <w:left w:val="single" w:sz="24" w:space="0" w:color="9EC544" w:themeColor="accent1"/>
        <w:bottom w:val="single" w:sz="24" w:space="0" w:color="9EC544" w:themeColor="accent1"/>
        <w:right w:val="single" w:sz="24" w:space="0" w:color="9EC544" w:themeColor="accent1"/>
      </w:pBdr>
      <w:shd w:val="clear" w:color="auto" w:fill="9EC54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514A40"/>
    <w:pPr>
      <w:pBdr>
        <w:top w:val="single" w:sz="24" w:space="0" w:color="EBF3D9" w:themeColor="accent1" w:themeTint="33"/>
        <w:left w:val="single" w:sz="24" w:space="0" w:color="EBF3D9" w:themeColor="accent1" w:themeTint="33"/>
        <w:bottom w:val="single" w:sz="24" w:space="0" w:color="EBF3D9" w:themeColor="accent1" w:themeTint="33"/>
        <w:right w:val="single" w:sz="24" w:space="0" w:color="EBF3D9" w:themeColor="accent1" w:themeTint="33"/>
      </w:pBdr>
      <w:shd w:val="clear" w:color="auto" w:fill="EBF3D9"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514A40"/>
    <w:pPr>
      <w:pBdr>
        <w:top w:val="single" w:sz="6" w:space="2" w:color="9EC544" w:themeColor="accent1"/>
      </w:pBdr>
      <w:spacing w:before="300" w:after="0"/>
      <w:outlineLvl w:val="2"/>
    </w:pPr>
    <w:rPr>
      <w:caps/>
      <w:color w:val="4F641F" w:themeColor="accent1" w:themeShade="7F"/>
      <w:spacing w:val="15"/>
    </w:rPr>
  </w:style>
  <w:style w:type="paragraph" w:styleId="Ttulo4">
    <w:name w:val="heading 4"/>
    <w:basedOn w:val="Normal"/>
    <w:next w:val="Normal"/>
    <w:link w:val="Ttulo4Car"/>
    <w:uiPriority w:val="9"/>
    <w:semiHidden/>
    <w:unhideWhenUsed/>
    <w:qFormat/>
    <w:rsid w:val="00514A40"/>
    <w:pPr>
      <w:pBdr>
        <w:top w:val="dotted" w:sz="6" w:space="2" w:color="9EC544" w:themeColor="accent1"/>
      </w:pBdr>
      <w:spacing w:before="200" w:after="0"/>
      <w:outlineLvl w:val="3"/>
    </w:pPr>
    <w:rPr>
      <w:caps/>
      <w:color w:val="77972F" w:themeColor="accent1" w:themeShade="BF"/>
      <w:spacing w:val="10"/>
    </w:rPr>
  </w:style>
  <w:style w:type="paragraph" w:styleId="Ttulo5">
    <w:name w:val="heading 5"/>
    <w:basedOn w:val="Normal"/>
    <w:next w:val="Normal"/>
    <w:link w:val="Ttulo5Car"/>
    <w:uiPriority w:val="9"/>
    <w:semiHidden/>
    <w:unhideWhenUsed/>
    <w:qFormat/>
    <w:rsid w:val="00514A40"/>
    <w:pPr>
      <w:pBdr>
        <w:bottom w:val="single" w:sz="6" w:space="1" w:color="9EC544" w:themeColor="accent1"/>
      </w:pBdr>
      <w:spacing w:before="200" w:after="0"/>
      <w:outlineLvl w:val="4"/>
    </w:pPr>
    <w:rPr>
      <w:caps/>
      <w:color w:val="77972F" w:themeColor="accent1" w:themeShade="BF"/>
      <w:spacing w:val="10"/>
    </w:rPr>
  </w:style>
  <w:style w:type="paragraph" w:styleId="Ttulo6">
    <w:name w:val="heading 6"/>
    <w:basedOn w:val="Normal"/>
    <w:next w:val="Normal"/>
    <w:link w:val="Ttulo6Car"/>
    <w:uiPriority w:val="9"/>
    <w:semiHidden/>
    <w:unhideWhenUsed/>
    <w:qFormat/>
    <w:rsid w:val="00514A40"/>
    <w:pPr>
      <w:pBdr>
        <w:bottom w:val="dotted" w:sz="6" w:space="1" w:color="9EC544" w:themeColor="accent1"/>
      </w:pBdr>
      <w:spacing w:before="200" w:after="0"/>
      <w:outlineLvl w:val="5"/>
    </w:pPr>
    <w:rPr>
      <w:caps/>
      <w:color w:val="77972F" w:themeColor="accent1" w:themeShade="BF"/>
      <w:spacing w:val="10"/>
    </w:rPr>
  </w:style>
  <w:style w:type="paragraph" w:styleId="Ttulo7">
    <w:name w:val="heading 7"/>
    <w:basedOn w:val="Normal"/>
    <w:next w:val="Normal"/>
    <w:link w:val="Ttulo7Car"/>
    <w:uiPriority w:val="9"/>
    <w:semiHidden/>
    <w:unhideWhenUsed/>
    <w:qFormat/>
    <w:rsid w:val="00514A40"/>
    <w:pPr>
      <w:spacing w:before="200" w:after="0"/>
      <w:outlineLvl w:val="6"/>
    </w:pPr>
    <w:rPr>
      <w:caps/>
      <w:color w:val="77972F" w:themeColor="accent1" w:themeShade="BF"/>
      <w:spacing w:val="10"/>
    </w:rPr>
  </w:style>
  <w:style w:type="paragraph" w:styleId="Ttulo8">
    <w:name w:val="heading 8"/>
    <w:basedOn w:val="Normal"/>
    <w:next w:val="Normal"/>
    <w:link w:val="Ttulo8Car"/>
    <w:uiPriority w:val="9"/>
    <w:semiHidden/>
    <w:unhideWhenUsed/>
    <w:qFormat/>
    <w:rsid w:val="00514A40"/>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514A40"/>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889"/>
    <w:pPr>
      <w:tabs>
        <w:tab w:val="center" w:pos="4252"/>
        <w:tab w:val="right" w:pos="8504"/>
      </w:tabs>
    </w:pPr>
  </w:style>
  <w:style w:type="character" w:customStyle="1" w:styleId="EncabezadoCar">
    <w:name w:val="Encabezado Car"/>
    <w:basedOn w:val="Fuentedeprrafopredeter"/>
    <w:link w:val="Encabezado"/>
    <w:uiPriority w:val="99"/>
    <w:rsid w:val="00A34889"/>
  </w:style>
  <w:style w:type="paragraph" w:styleId="Piedepgina">
    <w:name w:val="footer"/>
    <w:basedOn w:val="Normal"/>
    <w:link w:val="PiedepginaCar"/>
    <w:uiPriority w:val="99"/>
    <w:unhideWhenUsed/>
    <w:rsid w:val="00A34889"/>
    <w:pPr>
      <w:tabs>
        <w:tab w:val="center" w:pos="4252"/>
        <w:tab w:val="right" w:pos="8504"/>
      </w:tabs>
    </w:pPr>
  </w:style>
  <w:style w:type="character" w:customStyle="1" w:styleId="PiedepginaCar">
    <w:name w:val="Pie de página Car"/>
    <w:basedOn w:val="Fuentedeprrafopredeter"/>
    <w:link w:val="Piedepgina"/>
    <w:uiPriority w:val="99"/>
    <w:rsid w:val="00A34889"/>
  </w:style>
  <w:style w:type="paragraph" w:styleId="Textonotapie">
    <w:name w:val="footnote text"/>
    <w:basedOn w:val="Normal"/>
    <w:link w:val="TextonotapieCar"/>
    <w:uiPriority w:val="99"/>
    <w:unhideWhenUsed/>
    <w:rsid w:val="0039668E"/>
  </w:style>
  <w:style w:type="character" w:customStyle="1" w:styleId="TextonotapieCar">
    <w:name w:val="Texto nota pie Car"/>
    <w:basedOn w:val="Fuentedeprrafopredeter"/>
    <w:link w:val="Textonotapie"/>
    <w:uiPriority w:val="99"/>
    <w:rsid w:val="0039668E"/>
  </w:style>
  <w:style w:type="character" w:styleId="Refdenotaalpie">
    <w:name w:val="footnote reference"/>
    <w:basedOn w:val="Fuentedeprrafopredeter"/>
    <w:uiPriority w:val="99"/>
    <w:unhideWhenUsed/>
    <w:rsid w:val="0039668E"/>
    <w:rPr>
      <w:vertAlign w:val="superscript"/>
    </w:rPr>
  </w:style>
  <w:style w:type="paragraph" w:styleId="Prrafodelista">
    <w:name w:val="List Paragraph"/>
    <w:basedOn w:val="Normal"/>
    <w:uiPriority w:val="34"/>
    <w:qFormat/>
    <w:rsid w:val="00D44E64"/>
    <w:pPr>
      <w:ind w:left="720"/>
      <w:contextualSpacing/>
    </w:pPr>
  </w:style>
  <w:style w:type="table" w:styleId="Tablaconcuadrcula">
    <w:name w:val="Table Grid"/>
    <w:basedOn w:val="Tablanormal"/>
    <w:uiPriority w:val="39"/>
    <w:rsid w:val="00B8782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B79F7"/>
    <w:rPr>
      <w:color w:val="6BA9DA" w:themeColor="hyperlink"/>
      <w:u w:val="single"/>
    </w:rPr>
  </w:style>
  <w:style w:type="paragraph" w:styleId="Sinespaciado">
    <w:name w:val="No Spacing"/>
    <w:link w:val="SinespaciadoCar"/>
    <w:uiPriority w:val="1"/>
    <w:qFormat/>
    <w:rsid w:val="00514A40"/>
    <w:pPr>
      <w:spacing w:after="0" w:line="240" w:lineRule="auto"/>
    </w:pPr>
  </w:style>
  <w:style w:type="character" w:customStyle="1" w:styleId="SinespaciadoCar">
    <w:name w:val="Sin espaciado Car"/>
    <w:basedOn w:val="Fuentedeprrafopredeter"/>
    <w:link w:val="Sinespaciado"/>
    <w:uiPriority w:val="1"/>
    <w:rsid w:val="000569FC"/>
  </w:style>
  <w:style w:type="character" w:customStyle="1" w:styleId="Ttulo1Car">
    <w:name w:val="Título 1 Car"/>
    <w:basedOn w:val="Fuentedeprrafopredeter"/>
    <w:link w:val="Ttulo1"/>
    <w:uiPriority w:val="9"/>
    <w:rsid w:val="00514A40"/>
    <w:rPr>
      <w:caps/>
      <w:color w:val="FFFFFF" w:themeColor="background1"/>
      <w:spacing w:val="15"/>
      <w:sz w:val="22"/>
      <w:szCs w:val="22"/>
      <w:shd w:val="clear" w:color="auto" w:fill="9EC544" w:themeFill="accent1"/>
    </w:rPr>
  </w:style>
  <w:style w:type="character" w:customStyle="1" w:styleId="Ttulo2Car">
    <w:name w:val="Título 2 Car"/>
    <w:basedOn w:val="Fuentedeprrafopredeter"/>
    <w:link w:val="Ttulo2"/>
    <w:uiPriority w:val="9"/>
    <w:semiHidden/>
    <w:rsid w:val="00514A40"/>
    <w:rPr>
      <w:caps/>
      <w:spacing w:val="15"/>
      <w:shd w:val="clear" w:color="auto" w:fill="EBF3D9" w:themeFill="accent1" w:themeFillTint="33"/>
    </w:rPr>
  </w:style>
  <w:style w:type="character" w:customStyle="1" w:styleId="Ttulo3Car">
    <w:name w:val="Título 3 Car"/>
    <w:basedOn w:val="Fuentedeprrafopredeter"/>
    <w:link w:val="Ttulo3"/>
    <w:uiPriority w:val="9"/>
    <w:semiHidden/>
    <w:rsid w:val="00514A40"/>
    <w:rPr>
      <w:caps/>
      <w:color w:val="4F641F" w:themeColor="accent1" w:themeShade="7F"/>
      <w:spacing w:val="15"/>
    </w:rPr>
  </w:style>
  <w:style w:type="character" w:customStyle="1" w:styleId="Ttulo4Car">
    <w:name w:val="Título 4 Car"/>
    <w:basedOn w:val="Fuentedeprrafopredeter"/>
    <w:link w:val="Ttulo4"/>
    <w:uiPriority w:val="9"/>
    <w:semiHidden/>
    <w:rsid w:val="00514A40"/>
    <w:rPr>
      <w:caps/>
      <w:color w:val="77972F" w:themeColor="accent1" w:themeShade="BF"/>
      <w:spacing w:val="10"/>
    </w:rPr>
  </w:style>
  <w:style w:type="character" w:customStyle="1" w:styleId="Ttulo5Car">
    <w:name w:val="Título 5 Car"/>
    <w:basedOn w:val="Fuentedeprrafopredeter"/>
    <w:link w:val="Ttulo5"/>
    <w:uiPriority w:val="9"/>
    <w:semiHidden/>
    <w:rsid w:val="00514A40"/>
    <w:rPr>
      <w:caps/>
      <w:color w:val="77972F" w:themeColor="accent1" w:themeShade="BF"/>
      <w:spacing w:val="10"/>
    </w:rPr>
  </w:style>
  <w:style w:type="character" w:customStyle="1" w:styleId="Ttulo6Car">
    <w:name w:val="Título 6 Car"/>
    <w:basedOn w:val="Fuentedeprrafopredeter"/>
    <w:link w:val="Ttulo6"/>
    <w:uiPriority w:val="9"/>
    <w:semiHidden/>
    <w:rsid w:val="00514A40"/>
    <w:rPr>
      <w:caps/>
      <w:color w:val="77972F" w:themeColor="accent1" w:themeShade="BF"/>
      <w:spacing w:val="10"/>
    </w:rPr>
  </w:style>
  <w:style w:type="character" w:customStyle="1" w:styleId="Ttulo7Car">
    <w:name w:val="Título 7 Car"/>
    <w:basedOn w:val="Fuentedeprrafopredeter"/>
    <w:link w:val="Ttulo7"/>
    <w:uiPriority w:val="9"/>
    <w:semiHidden/>
    <w:rsid w:val="00514A40"/>
    <w:rPr>
      <w:caps/>
      <w:color w:val="77972F" w:themeColor="accent1" w:themeShade="BF"/>
      <w:spacing w:val="10"/>
    </w:rPr>
  </w:style>
  <w:style w:type="character" w:customStyle="1" w:styleId="Ttulo8Car">
    <w:name w:val="Título 8 Car"/>
    <w:basedOn w:val="Fuentedeprrafopredeter"/>
    <w:link w:val="Ttulo8"/>
    <w:uiPriority w:val="9"/>
    <w:semiHidden/>
    <w:rsid w:val="00514A40"/>
    <w:rPr>
      <w:caps/>
      <w:spacing w:val="10"/>
      <w:sz w:val="18"/>
      <w:szCs w:val="18"/>
    </w:rPr>
  </w:style>
  <w:style w:type="character" w:customStyle="1" w:styleId="Ttulo9Car">
    <w:name w:val="Título 9 Car"/>
    <w:basedOn w:val="Fuentedeprrafopredeter"/>
    <w:link w:val="Ttulo9"/>
    <w:uiPriority w:val="9"/>
    <w:semiHidden/>
    <w:rsid w:val="00514A40"/>
    <w:rPr>
      <w:i/>
      <w:iCs/>
      <w:caps/>
      <w:spacing w:val="10"/>
      <w:sz w:val="18"/>
      <w:szCs w:val="18"/>
    </w:rPr>
  </w:style>
  <w:style w:type="paragraph" w:styleId="Epgrafe">
    <w:name w:val="caption"/>
    <w:basedOn w:val="Normal"/>
    <w:next w:val="Normal"/>
    <w:uiPriority w:val="35"/>
    <w:semiHidden/>
    <w:unhideWhenUsed/>
    <w:qFormat/>
    <w:rsid w:val="00514A40"/>
    <w:rPr>
      <w:b/>
      <w:bCs/>
      <w:color w:val="77972F" w:themeColor="accent1" w:themeShade="BF"/>
      <w:sz w:val="16"/>
      <w:szCs w:val="16"/>
    </w:rPr>
  </w:style>
  <w:style w:type="paragraph" w:styleId="Ttulo">
    <w:name w:val="Title"/>
    <w:basedOn w:val="Normal"/>
    <w:next w:val="Normal"/>
    <w:link w:val="TtuloCar"/>
    <w:uiPriority w:val="10"/>
    <w:qFormat/>
    <w:rsid w:val="00514A40"/>
    <w:pPr>
      <w:spacing w:before="0" w:after="0"/>
    </w:pPr>
    <w:rPr>
      <w:rFonts w:asciiTheme="majorHAnsi" w:eastAsiaTheme="majorEastAsia" w:hAnsiTheme="majorHAnsi" w:cstheme="majorBidi"/>
      <w:caps/>
      <w:color w:val="9EC544" w:themeColor="accent1"/>
      <w:spacing w:val="10"/>
      <w:sz w:val="52"/>
      <w:szCs w:val="52"/>
    </w:rPr>
  </w:style>
  <w:style w:type="character" w:customStyle="1" w:styleId="TtuloCar">
    <w:name w:val="Título Car"/>
    <w:basedOn w:val="Fuentedeprrafopredeter"/>
    <w:link w:val="Ttulo"/>
    <w:uiPriority w:val="10"/>
    <w:rsid w:val="00514A40"/>
    <w:rPr>
      <w:rFonts w:asciiTheme="majorHAnsi" w:eastAsiaTheme="majorEastAsia" w:hAnsiTheme="majorHAnsi" w:cstheme="majorBidi"/>
      <w:caps/>
      <w:color w:val="9EC544" w:themeColor="accent1"/>
      <w:spacing w:val="10"/>
      <w:sz w:val="52"/>
      <w:szCs w:val="52"/>
    </w:rPr>
  </w:style>
  <w:style w:type="paragraph" w:styleId="Subttulo">
    <w:name w:val="Subtitle"/>
    <w:basedOn w:val="Normal"/>
    <w:next w:val="Normal"/>
    <w:link w:val="SubttuloCar"/>
    <w:uiPriority w:val="11"/>
    <w:qFormat/>
    <w:rsid w:val="00514A40"/>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514A40"/>
    <w:rPr>
      <w:caps/>
      <w:color w:val="595959" w:themeColor="text1" w:themeTint="A6"/>
      <w:spacing w:val="10"/>
      <w:sz w:val="21"/>
      <w:szCs w:val="21"/>
    </w:rPr>
  </w:style>
  <w:style w:type="character" w:styleId="Textoennegrita">
    <w:name w:val="Strong"/>
    <w:uiPriority w:val="22"/>
    <w:qFormat/>
    <w:rsid w:val="00514A40"/>
    <w:rPr>
      <w:b/>
      <w:bCs/>
    </w:rPr>
  </w:style>
  <w:style w:type="character" w:styleId="nfasis">
    <w:name w:val="Emphasis"/>
    <w:uiPriority w:val="20"/>
    <w:qFormat/>
    <w:rsid w:val="00514A40"/>
    <w:rPr>
      <w:caps/>
      <w:color w:val="4F641F" w:themeColor="accent1" w:themeShade="7F"/>
      <w:spacing w:val="5"/>
    </w:rPr>
  </w:style>
  <w:style w:type="paragraph" w:styleId="Cita">
    <w:name w:val="Quote"/>
    <w:basedOn w:val="Normal"/>
    <w:next w:val="Normal"/>
    <w:link w:val="CitaCar"/>
    <w:uiPriority w:val="29"/>
    <w:qFormat/>
    <w:rsid w:val="00514A40"/>
    <w:rPr>
      <w:i/>
      <w:iCs/>
      <w:sz w:val="24"/>
      <w:szCs w:val="24"/>
    </w:rPr>
  </w:style>
  <w:style w:type="character" w:customStyle="1" w:styleId="CitaCar">
    <w:name w:val="Cita Car"/>
    <w:basedOn w:val="Fuentedeprrafopredeter"/>
    <w:link w:val="Cita"/>
    <w:uiPriority w:val="29"/>
    <w:rsid w:val="00514A40"/>
    <w:rPr>
      <w:i/>
      <w:iCs/>
      <w:sz w:val="24"/>
      <w:szCs w:val="24"/>
    </w:rPr>
  </w:style>
  <w:style w:type="paragraph" w:styleId="Citadestacada">
    <w:name w:val="Intense Quote"/>
    <w:basedOn w:val="Normal"/>
    <w:next w:val="Normal"/>
    <w:link w:val="CitadestacadaCar"/>
    <w:uiPriority w:val="30"/>
    <w:qFormat/>
    <w:rsid w:val="00514A40"/>
    <w:pPr>
      <w:spacing w:before="240" w:after="240" w:line="240" w:lineRule="auto"/>
      <w:ind w:left="1080" w:right="1080"/>
      <w:jc w:val="center"/>
    </w:pPr>
    <w:rPr>
      <w:color w:val="9EC544" w:themeColor="accent1"/>
      <w:sz w:val="24"/>
      <w:szCs w:val="24"/>
    </w:rPr>
  </w:style>
  <w:style w:type="character" w:customStyle="1" w:styleId="CitadestacadaCar">
    <w:name w:val="Cita destacada Car"/>
    <w:basedOn w:val="Fuentedeprrafopredeter"/>
    <w:link w:val="Citadestacada"/>
    <w:uiPriority w:val="30"/>
    <w:rsid w:val="00514A40"/>
    <w:rPr>
      <w:color w:val="9EC544" w:themeColor="accent1"/>
      <w:sz w:val="24"/>
      <w:szCs w:val="24"/>
    </w:rPr>
  </w:style>
  <w:style w:type="character" w:styleId="nfasissutil">
    <w:name w:val="Subtle Emphasis"/>
    <w:uiPriority w:val="19"/>
    <w:qFormat/>
    <w:rsid w:val="00514A40"/>
    <w:rPr>
      <w:i/>
      <w:iCs/>
      <w:color w:val="4F641F" w:themeColor="accent1" w:themeShade="7F"/>
    </w:rPr>
  </w:style>
  <w:style w:type="character" w:styleId="nfasisintenso">
    <w:name w:val="Intense Emphasis"/>
    <w:uiPriority w:val="21"/>
    <w:qFormat/>
    <w:rsid w:val="00514A40"/>
    <w:rPr>
      <w:b/>
      <w:bCs/>
      <w:caps/>
      <w:color w:val="4F641F" w:themeColor="accent1" w:themeShade="7F"/>
      <w:spacing w:val="10"/>
    </w:rPr>
  </w:style>
  <w:style w:type="character" w:styleId="Referenciasutil">
    <w:name w:val="Subtle Reference"/>
    <w:uiPriority w:val="31"/>
    <w:qFormat/>
    <w:rsid w:val="00514A40"/>
    <w:rPr>
      <w:b/>
      <w:bCs/>
      <w:color w:val="9EC544" w:themeColor="accent1"/>
    </w:rPr>
  </w:style>
  <w:style w:type="character" w:styleId="Referenciaintensa">
    <w:name w:val="Intense Reference"/>
    <w:uiPriority w:val="32"/>
    <w:qFormat/>
    <w:rsid w:val="00514A40"/>
    <w:rPr>
      <w:b/>
      <w:bCs/>
      <w:i/>
      <w:iCs/>
      <w:caps/>
      <w:color w:val="9EC544" w:themeColor="accent1"/>
    </w:rPr>
  </w:style>
  <w:style w:type="character" w:styleId="Ttulodellibro">
    <w:name w:val="Book Title"/>
    <w:uiPriority w:val="33"/>
    <w:qFormat/>
    <w:rsid w:val="00514A40"/>
    <w:rPr>
      <w:b/>
      <w:bCs/>
      <w:i/>
      <w:iCs/>
      <w:spacing w:val="0"/>
    </w:rPr>
  </w:style>
  <w:style w:type="paragraph" w:styleId="TtulodeTDC">
    <w:name w:val="TOC Heading"/>
    <w:basedOn w:val="Ttulo1"/>
    <w:next w:val="Normal"/>
    <w:uiPriority w:val="39"/>
    <w:semiHidden/>
    <w:unhideWhenUsed/>
    <w:qFormat/>
    <w:rsid w:val="00514A40"/>
    <w:pPr>
      <w:outlineLvl w:val="9"/>
    </w:pPr>
  </w:style>
  <w:style w:type="paragraph" w:styleId="Textodeglobo">
    <w:name w:val="Balloon Text"/>
    <w:basedOn w:val="Normal"/>
    <w:link w:val="TextodegloboCar"/>
    <w:uiPriority w:val="99"/>
    <w:semiHidden/>
    <w:unhideWhenUsed/>
    <w:rsid w:val="00D701E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01E8"/>
    <w:rPr>
      <w:rFonts w:ascii="Segoe UI" w:hAnsi="Segoe UI" w:cs="Segoe UI"/>
      <w:sz w:val="18"/>
      <w:szCs w:val="18"/>
    </w:rPr>
  </w:style>
  <w:style w:type="character" w:styleId="Nmerodepgina">
    <w:name w:val="page number"/>
    <w:basedOn w:val="Fuentedeprrafopredeter"/>
    <w:uiPriority w:val="99"/>
    <w:unhideWhenUsed/>
    <w:rsid w:val="00D701E8"/>
    <w:rPr>
      <w:rFonts w:eastAsiaTheme="minorEastAsia" w:cstheme="minorBidi"/>
      <w:bCs w:val="0"/>
      <w:iCs w:val="0"/>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A40"/>
  </w:style>
  <w:style w:type="paragraph" w:styleId="Ttulo1">
    <w:name w:val="heading 1"/>
    <w:basedOn w:val="Normal"/>
    <w:next w:val="Normal"/>
    <w:link w:val="Ttulo1Car"/>
    <w:uiPriority w:val="9"/>
    <w:qFormat/>
    <w:rsid w:val="00514A40"/>
    <w:pPr>
      <w:pBdr>
        <w:top w:val="single" w:sz="24" w:space="0" w:color="9EC544" w:themeColor="accent1"/>
        <w:left w:val="single" w:sz="24" w:space="0" w:color="9EC544" w:themeColor="accent1"/>
        <w:bottom w:val="single" w:sz="24" w:space="0" w:color="9EC544" w:themeColor="accent1"/>
        <w:right w:val="single" w:sz="24" w:space="0" w:color="9EC544" w:themeColor="accent1"/>
      </w:pBdr>
      <w:shd w:val="clear" w:color="auto" w:fill="9EC54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514A40"/>
    <w:pPr>
      <w:pBdr>
        <w:top w:val="single" w:sz="24" w:space="0" w:color="EBF3D9" w:themeColor="accent1" w:themeTint="33"/>
        <w:left w:val="single" w:sz="24" w:space="0" w:color="EBF3D9" w:themeColor="accent1" w:themeTint="33"/>
        <w:bottom w:val="single" w:sz="24" w:space="0" w:color="EBF3D9" w:themeColor="accent1" w:themeTint="33"/>
        <w:right w:val="single" w:sz="24" w:space="0" w:color="EBF3D9" w:themeColor="accent1" w:themeTint="33"/>
      </w:pBdr>
      <w:shd w:val="clear" w:color="auto" w:fill="EBF3D9"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514A40"/>
    <w:pPr>
      <w:pBdr>
        <w:top w:val="single" w:sz="6" w:space="2" w:color="9EC544" w:themeColor="accent1"/>
      </w:pBdr>
      <w:spacing w:before="300" w:after="0"/>
      <w:outlineLvl w:val="2"/>
    </w:pPr>
    <w:rPr>
      <w:caps/>
      <w:color w:val="4F641F" w:themeColor="accent1" w:themeShade="7F"/>
      <w:spacing w:val="15"/>
    </w:rPr>
  </w:style>
  <w:style w:type="paragraph" w:styleId="Ttulo4">
    <w:name w:val="heading 4"/>
    <w:basedOn w:val="Normal"/>
    <w:next w:val="Normal"/>
    <w:link w:val="Ttulo4Car"/>
    <w:uiPriority w:val="9"/>
    <w:semiHidden/>
    <w:unhideWhenUsed/>
    <w:qFormat/>
    <w:rsid w:val="00514A40"/>
    <w:pPr>
      <w:pBdr>
        <w:top w:val="dotted" w:sz="6" w:space="2" w:color="9EC544" w:themeColor="accent1"/>
      </w:pBdr>
      <w:spacing w:before="200" w:after="0"/>
      <w:outlineLvl w:val="3"/>
    </w:pPr>
    <w:rPr>
      <w:caps/>
      <w:color w:val="77972F" w:themeColor="accent1" w:themeShade="BF"/>
      <w:spacing w:val="10"/>
    </w:rPr>
  </w:style>
  <w:style w:type="paragraph" w:styleId="Ttulo5">
    <w:name w:val="heading 5"/>
    <w:basedOn w:val="Normal"/>
    <w:next w:val="Normal"/>
    <w:link w:val="Ttulo5Car"/>
    <w:uiPriority w:val="9"/>
    <w:semiHidden/>
    <w:unhideWhenUsed/>
    <w:qFormat/>
    <w:rsid w:val="00514A40"/>
    <w:pPr>
      <w:pBdr>
        <w:bottom w:val="single" w:sz="6" w:space="1" w:color="9EC544" w:themeColor="accent1"/>
      </w:pBdr>
      <w:spacing w:before="200" w:after="0"/>
      <w:outlineLvl w:val="4"/>
    </w:pPr>
    <w:rPr>
      <w:caps/>
      <w:color w:val="77972F" w:themeColor="accent1" w:themeShade="BF"/>
      <w:spacing w:val="10"/>
    </w:rPr>
  </w:style>
  <w:style w:type="paragraph" w:styleId="Ttulo6">
    <w:name w:val="heading 6"/>
    <w:basedOn w:val="Normal"/>
    <w:next w:val="Normal"/>
    <w:link w:val="Ttulo6Car"/>
    <w:uiPriority w:val="9"/>
    <w:semiHidden/>
    <w:unhideWhenUsed/>
    <w:qFormat/>
    <w:rsid w:val="00514A40"/>
    <w:pPr>
      <w:pBdr>
        <w:bottom w:val="dotted" w:sz="6" w:space="1" w:color="9EC544" w:themeColor="accent1"/>
      </w:pBdr>
      <w:spacing w:before="200" w:after="0"/>
      <w:outlineLvl w:val="5"/>
    </w:pPr>
    <w:rPr>
      <w:caps/>
      <w:color w:val="77972F" w:themeColor="accent1" w:themeShade="BF"/>
      <w:spacing w:val="10"/>
    </w:rPr>
  </w:style>
  <w:style w:type="paragraph" w:styleId="Ttulo7">
    <w:name w:val="heading 7"/>
    <w:basedOn w:val="Normal"/>
    <w:next w:val="Normal"/>
    <w:link w:val="Ttulo7Car"/>
    <w:uiPriority w:val="9"/>
    <w:semiHidden/>
    <w:unhideWhenUsed/>
    <w:qFormat/>
    <w:rsid w:val="00514A40"/>
    <w:pPr>
      <w:spacing w:before="200" w:after="0"/>
      <w:outlineLvl w:val="6"/>
    </w:pPr>
    <w:rPr>
      <w:caps/>
      <w:color w:val="77972F" w:themeColor="accent1" w:themeShade="BF"/>
      <w:spacing w:val="10"/>
    </w:rPr>
  </w:style>
  <w:style w:type="paragraph" w:styleId="Ttulo8">
    <w:name w:val="heading 8"/>
    <w:basedOn w:val="Normal"/>
    <w:next w:val="Normal"/>
    <w:link w:val="Ttulo8Car"/>
    <w:uiPriority w:val="9"/>
    <w:semiHidden/>
    <w:unhideWhenUsed/>
    <w:qFormat/>
    <w:rsid w:val="00514A40"/>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514A40"/>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889"/>
    <w:pPr>
      <w:tabs>
        <w:tab w:val="center" w:pos="4252"/>
        <w:tab w:val="right" w:pos="8504"/>
      </w:tabs>
    </w:pPr>
  </w:style>
  <w:style w:type="character" w:customStyle="1" w:styleId="EncabezadoCar">
    <w:name w:val="Encabezado Car"/>
    <w:basedOn w:val="Fuentedeprrafopredeter"/>
    <w:link w:val="Encabezado"/>
    <w:uiPriority w:val="99"/>
    <w:rsid w:val="00A34889"/>
  </w:style>
  <w:style w:type="paragraph" w:styleId="Piedepgina">
    <w:name w:val="footer"/>
    <w:basedOn w:val="Normal"/>
    <w:link w:val="PiedepginaCar"/>
    <w:uiPriority w:val="99"/>
    <w:unhideWhenUsed/>
    <w:rsid w:val="00A34889"/>
    <w:pPr>
      <w:tabs>
        <w:tab w:val="center" w:pos="4252"/>
        <w:tab w:val="right" w:pos="8504"/>
      </w:tabs>
    </w:pPr>
  </w:style>
  <w:style w:type="character" w:customStyle="1" w:styleId="PiedepginaCar">
    <w:name w:val="Pie de página Car"/>
    <w:basedOn w:val="Fuentedeprrafopredeter"/>
    <w:link w:val="Piedepgina"/>
    <w:uiPriority w:val="99"/>
    <w:rsid w:val="00A34889"/>
  </w:style>
  <w:style w:type="paragraph" w:styleId="Textonotapie">
    <w:name w:val="footnote text"/>
    <w:basedOn w:val="Normal"/>
    <w:link w:val="TextonotapieCar"/>
    <w:uiPriority w:val="99"/>
    <w:unhideWhenUsed/>
    <w:rsid w:val="0039668E"/>
  </w:style>
  <w:style w:type="character" w:customStyle="1" w:styleId="TextonotapieCar">
    <w:name w:val="Texto nota pie Car"/>
    <w:basedOn w:val="Fuentedeprrafopredeter"/>
    <w:link w:val="Textonotapie"/>
    <w:uiPriority w:val="99"/>
    <w:rsid w:val="0039668E"/>
  </w:style>
  <w:style w:type="character" w:styleId="Refdenotaalpie">
    <w:name w:val="footnote reference"/>
    <w:basedOn w:val="Fuentedeprrafopredeter"/>
    <w:uiPriority w:val="99"/>
    <w:unhideWhenUsed/>
    <w:rsid w:val="0039668E"/>
    <w:rPr>
      <w:vertAlign w:val="superscript"/>
    </w:rPr>
  </w:style>
  <w:style w:type="paragraph" w:styleId="Prrafodelista">
    <w:name w:val="List Paragraph"/>
    <w:basedOn w:val="Normal"/>
    <w:uiPriority w:val="34"/>
    <w:qFormat/>
    <w:rsid w:val="00D44E64"/>
    <w:pPr>
      <w:ind w:left="720"/>
      <w:contextualSpacing/>
    </w:pPr>
  </w:style>
  <w:style w:type="table" w:styleId="Tablaconcuadrcula">
    <w:name w:val="Table Grid"/>
    <w:basedOn w:val="Tablanormal"/>
    <w:uiPriority w:val="39"/>
    <w:rsid w:val="00B8782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B79F7"/>
    <w:rPr>
      <w:color w:val="6BA9DA" w:themeColor="hyperlink"/>
      <w:u w:val="single"/>
    </w:rPr>
  </w:style>
  <w:style w:type="paragraph" w:styleId="Sinespaciado">
    <w:name w:val="No Spacing"/>
    <w:link w:val="SinespaciadoCar"/>
    <w:uiPriority w:val="1"/>
    <w:qFormat/>
    <w:rsid w:val="00514A40"/>
    <w:pPr>
      <w:spacing w:after="0" w:line="240" w:lineRule="auto"/>
    </w:pPr>
  </w:style>
  <w:style w:type="character" w:customStyle="1" w:styleId="SinespaciadoCar">
    <w:name w:val="Sin espaciado Car"/>
    <w:basedOn w:val="Fuentedeprrafopredeter"/>
    <w:link w:val="Sinespaciado"/>
    <w:uiPriority w:val="1"/>
    <w:rsid w:val="000569FC"/>
  </w:style>
  <w:style w:type="character" w:customStyle="1" w:styleId="Ttulo1Car">
    <w:name w:val="Título 1 Car"/>
    <w:basedOn w:val="Fuentedeprrafopredeter"/>
    <w:link w:val="Ttulo1"/>
    <w:uiPriority w:val="9"/>
    <w:rsid w:val="00514A40"/>
    <w:rPr>
      <w:caps/>
      <w:color w:val="FFFFFF" w:themeColor="background1"/>
      <w:spacing w:val="15"/>
      <w:sz w:val="22"/>
      <w:szCs w:val="22"/>
      <w:shd w:val="clear" w:color="auto" w:fill="9EC544" w:themeFill="accent1"/>
    </w:rPr>
  </w:style>
  <w:style w:type="character" w:customStyle="1" w:styleId="Ttulo2Car">
    <w:name w:val="Título 2 Car"/>
    <w:basedOn w:val="Fuentedeprrafopredeter"/>
    <w:link w:val="Ttulo2"/>
    <w:uiPriority w:val="9"/>
    <w:semiHidden/>
    <w:rsid w:val="00514A40"/>
    <w:rPr>
      <w:caps/>
      <w:spacing w:val="15"/>
      <w:shd w:val="clear" w:color="auto" w:fill="EBF3D9" w:themeFill="accent1" w:themeFillTint="33"/>
    </w:rPr>
  </w:style>
  <w:style w:type="character" w:customStyle="1" w:styleId="Ttulo3Car">
    <w:name w:val="Título 3 Car"/>
    <w:basedOn w:val="Fuentedeprrafopredeter"/>
    <w:link w:val="Ttulo3"/>
    <w:uiPriority w:val="9"/>
    <w:semiHidden/>
    <w:rsid w:val="00514A40"/>
    <w:rPr>
      <w:caps/>
      <w:color w:val="4F641F" w:themeColor="accent1" w:themeShade="7F"/>
      <w:spacing w:val="15"/>
    </w:rPr>
  </w:style>
  <w:style w:type="character" w:customStyle="1" w:styleId="Ttulo4Car">
    <w:name w:val="Título 4 Car"/>
    <w:basedOn w:val="Fuentedeprrafopredeter"/>
    <w:link w:val="Ttulo4"/>
    <w:uiPriority w:val="9"/>
    <w:semiHidden/>
    <w:rsid w:val="00514A40"/>
    <w:rPr>
      <w:caps/>
      <w:color w:val="77972F" w:themeColor="accent1" w:themeShade="BF"/>
      <w:spacing w:val="10"/>
    </w:rPr>
  </w:style>
  <w:style w:type="character" w:customStyle="1" w:styleId="Ttulo5Car">
    <w:name w:val="Título 5 Car"/>
    <w:basedOn w:val="Fuentedeprrafopredeter"/>
    <w:link w:val="Ttulo5"/>
    <w:uiPriority w:val="9"/>
    <w:semiHidden/>
    <w:rsid w:val="00514A40"/>
    <w:rPr>
      <w:caps/>
      <w:color w:val="77972F" w:themeColor="accent1" w:themeShade="BF"/>
      <w:spacing w:val="10"/>
    </w:rPr>
  </w:style>
  <w:style w:type="character" w:customStyle="1" w:styleId="Ttulo6Car">
    <w:name w:val="Título 6 Car"/>
    <w:basedOn w:val="Fuentedeprrafopredeter"/>
    <w:link w:val="Ttulo6"/>
    <w:uiPriority w:val="9"/>
    <w:semiHidden/>
    <w:rsid w:val="00514A40"/>
    <w:rPr>
      <w:caps/>
      <w:color w:val="77972F" w:themeColor="accent1" w:themeShade="BF"/>
      <w:spacing w:val="10"/>
    </w:rPr>
  </w:style>
  <w:style w:type="character" w:customStyle="1" w:styleId="Ttulo7Car">
    <w:name w:val="Título 7 Car"/>
    <w:basedOn w:val="Fuentedeprrafopredeter"/>
    <w:link w:val="Ttulo7"/>
    <w:uiPriority w:val="9"/>
    <w:semiHidden/>
    <w:rsid w:val="00514A40"/>
    <w:rPr>
      <w:caps/>
      <w:color w:val="77972F" w:themeColor="accent1" w:themeShade="BF"/>
      <w:spacing w:val="10"/>
    </w:rPr>
  </w:style>
  <w:style w:type="character" w:customStyle="1" w:styleId="Ttulo8Car">
    <w:name w:val="Título 8 Car"/>
    <w:basedOn w:val="Fuentedeprrafopredeter"/>
    <w:link w:val="Ttulo8"/>
    <w:uiPriority w:val="9"/>
    <w:semiHidden/>
    <w:rsid w:val="00514A40"/>
    <w:rPr>
      <w:caps/>
      <w:spacing w:val="10"/>
      <w:sz w:val="18"/>
      <w:szCs w:val="18"/>
    </w:rPr>
  </w:style>
  <w:style w:type="character" w:customStyle="1" w:styleId="Ttulo9Car">
    <w:name w:val="Título 9 Car"/>
    <w:basedOn w:val="Fuentedeprrafopredeter"/>
    <w:link w:val="Ttulo9"/>
    <w:uiPriority w:val="9"/>
    <w:semiHidden/>
    <w:rsid w:val="00514A40"/>
    <w:rPr>
      <w:i/>
      <w:iCs/>
      <w:caps/>
      <w:spacing w:val="10"/>
      <w:sz w:val="18"/>
      <w:szCs w:val="18"/>
    </w:rPr>
  </w:style>
  <w:style w:type="paragraph" w:styleId="Epgrafe">
    <w:name w:val="caption"/>
    <w:basedOn w:val="Normal"/>
    <w:next w:val="Normal"/>
    <w:uiPriority w:val="35"/>
    <w:semiHidden/>
    <w:unhideWhenUsed/>
    <w:qFormat/>
    <w:rsid w:val="00514A40"/>
    <w:rPr>
      <w:b/>
      <w:bCs/>
      <w:color w:val="77972F" w:themeColor="accent1" w:themeShade="BF"/>
      <w:sz w:val="16"/>
      <w:szCs w:val="16"/>
    </w:rPr>
  </w:style>
  <w:style w:type="paragraph" w:styleId="Ttulo">
    <w:name w:val="Title"/>
    <w:basedOn w:val="Normal"/>
    <w:next w:val="Normal"/>
    <w:link w:val="TtuloCar"/>
    <w:uiPriority w:val="10"/>
    <w:qFormat/>
    <w:rsid w:val="00514A40"/>
    <w:pPr>
      <w:spacing w:before="0" w:after="0"/>
    </w:pPr>
    <w:rPr>
      <w:rFonts w:asciiTheme="majorHAnsi" w:eastAsiaTheme="majorEastAsia" w:hAnsiTheme="majorHAnsi" w:cstheme="majorBidi"/>
      <w:caps/>
      <w:color w:val="9EC544" w:themeColor="accent1"/>
      <w:spacing w:val="10"/>
      <w:sz w:val="52"/>
      <w:szCs w:val="52"/>
    </w:rPr>
  </w:style>
  <w:style w:type="character" w:customStyle="1" w:styleId="TtuloCar">
    <w:name w:val="Título Car"/>
    <w:basedOn w:val="Fuentedeprrafopredeter"/>
    <w:link w:val="Ttulo"/>
    <w:uiPriority w:val="10"/>
    <w:rsid w:val="00514A40"/>
    <w:rPr>
      <w:rFonts w:asciiTheme="majorHAnsi" w:eastAsiaTheme="majorEastAsia" w:hAnsiTheme="majorHAnsi" w:cstheme="majorBidi"/>
      <w:caps/>
      <w:color w:val="9EC544" w:themeColor="accent1"/>
      <w:spacing w:val="10"/>
      <w:sz w:val="52"/>
      <w:szCs w:val="52"/>
    </w:rPr>
  </w:style>
  <w:style w:type="paragraph" w:styleId="Subttulo">
    <w:name w:val="Subtitle"/>
    <w:basedOn w:val="Normal"/>
    <w:next w:val="Normal"/>
    <w:link w:val="SubttuloCar"/>
    <w:uiPriority w:val="11"/>
    <w:qFormat/>
    <w:rsid w:val="00514A40"/>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514A40"/>
    <w:rPr>
      <w:caps/>
      <w:color w:val="595959" w:themeColor="text1" w:themeTint="A6"/>
      <w:spacing w:val="10"/>
      <w:sz w:val="21"/>
      <w:szCs w:val="21"/>
    </w:rPr>
  </w:style>
  <w:style w:type="character" w:styleId="Textoennegrita">
    <w:name w:val="Strong"/>
    <w:uiPriority w:val="22"/>
    <w:qFormat/>
    <w:rsid w:val="00514A40"/>
    <w:rPr>
      <w:b/>
      <w:bCs/>
    </w:rPr>
  </w:style>
  <w:style w:type="character" w:styleId="nfasis">
    <w:name w:val="Emphasis"/>
    <w:uiPriority w:val="20"/>
    <w:qFormat/>
    <w:rsid w:val="00514A40"/>
    <w:rPr>
      <w:caps/>
      <w:color w:val="4F641F" w:themeColor="accent1" w:themeShade="7F"/>
      <w:spacing w:val="5"/>
    </w:rPr>
  </w:style>
  <w:style w:type="paragraph" w:styleId="Cita">
    <w:name w:val="Quote"/>
    <w:basedOn w:val="Normal"/>
    <w:next w:val="Normal"/>
    <w:link w:val="CitaCar"/>
    <w:uiPriority w:val="29"/>
    <w:qFormat/>
    <w:rsid w:val="00514A40"/>
    <w:rPr>
      <w:i/>
      <w:iCs/>
      <w:sz w:val="24"/>
      <w:szCs w:val="24"/>
    </w:rPr>
  </w:style>
  <w:style w:type="character" w:customStyle="1" w:styleId="CitaCar">
    <w:name w:val="Cita Car"/>
    <w:basedOn w:val="Fuentedeprrafopredeter"/>
    <w:link w:val="Cita"/>
    <w:uiPriority w:val="29"/>
    <w:rsid w:val="00514A40"/>
    <w:rPr>
      <w:i/>
      <w:iCs/>
      <w:sz w:val="24"/>
      <w:szCs w:val="24"/>
    </w:rPr>
  </w:style>
  <w:style w:type="paragraph" w:styleId="Citadestacada">
    <w:name w:val="Intense Quote"/>
    <w:basedOn w:val="Normal"/>
    <w:next w:val="Normal"/>
    <w:link w:val="CitadestacadaCar"/>
    <w:uiPriority w:val="30"/>
    <w:qFormat/>
    <w:rsid w:val="00514A40"/>
    <w:pPr>
      <w:spacing w:before="240" w:after="240" w:line="240" w:lineRule="auto"/>
      <w:ind w:left="1080" w:right="1080"/>
      <w:jc w:val="center"/>
    </w:pPr>
    <w:rPr>
      <w:color w:val="9EC544" w:themeColor="accent1"/>
      <w:sz w:val="24"/>
      <w:szCs w:val="24"/>
    </w:rPr>
  </w:style>
  <w:style w:type="character" w:customStyle="1" w:styleId="CitadestacadaCar">
    <w:name w:val="Cita destacada Car"/>
    <w:basedOn w:val="Fuentedeprrafopredeter"/>
    <w:link w:val="Citadestacada"/>
    <w:uiPriority w:val="30"/>
    <w:rsid w:val="00514A40"/>
    <w:rPr>
      <w:color w:val="9EC544" w:themeColor="accent1"/>
      <w:sz w:val="24"/>
      <w:szCs w:val="24"/>
    </w:rPr>
  </w:style>
  <w:style w:type="character" w:styleId="nfasissutil">
    <w:name w:val="Subtle Emphasis"/>
    <w:uiPriority w:val="19"/>
    <w:qFormat/>
    <w:rsid w:val="00514A40"/>
    <w:rPr>
      <w:i/>
      <w:iCs/>
      <w:color w:val="4F641F" w:themeColor="accent1" w:themeShade="7F"/>
    </w:rPr>
  </w:style>
  <w:style w:type="character" w:styleId="nfasisintenso">
    <w:name w:val="Intense Emphasis"/>
    <w:uiPriority w:val="21"/>
    <w:qFormat/>
    <w:rsid w:val="00514A40"/>
    <w:rPr>
      <w:b/>
      <w:bCs/>
      <w:caps/>
      <w:color w:val="4F641F" w:themeColor="accent1" w:themeShade="7F"/>
      <w:spacing w:val="10"/>
    </w:rPr>
  </w:style>
  <w:style w:type="character" w:styleId="Referenciasutil">
    <w:name w:val="Subtle Reference"/>
    <w:uiPriority w:val="31"/>
    <w:qFormat/>
    <w:rsid w:val="00514A40"/>
    <w:rPr>
      <w:b/>
      <w:bCs/>
      <w:color w:val="9EC544" w:themeColor="accent1"/>
    </w:rPr>
  </w:style>
  <w:style w:type="character" w:styleId="Referenciaintensa">
    <w:name w:val="Intense Reference"/>
    <w:uiPriority w:val="32"/>
    <w:qFormat/>
    <w:rsid w:val="00514A40"/>
    <w:rPr>
      <w:b/>
      <w:bCs/>
      <w:i/>
      <w:iCs/>
      <w:caps/>
      <w:color w:val="9EC544" w:themeColor="accent1"/>
    </w:rPr>
  </w:style>
  <w:style w:type="character" w:styleId="Ttulodellibro">
    <w:name w:val="Book Title"/>
    <w:uiPriority w:val="33"/>
    <w:qFormat/>
    <w:rsid w:val="00514A40"/>
    <w:rPr>
      <w:b/>
      <w:bCs/>
      <w:i/>
      <w:iCs/>
      <w:spacing w:val="0"/>
    </w:rPr>
  </w:style>
  <w:style w:type="paragraph" w:styleId="TtulodeTDC">
    <w:name w:val="TOC Heading"/>
    <w:basedOn w:val="Ttulo1"/>
    <w:next w:val="Normal"/>
    <w:uiPriority w:val="39"/>
    <w:semiHidden/>
    <w:unhideWhenUsed/>
    <w:qFormat/>
    <w:rsid w:val="00514A40"/>
    <w:pPr>
      <w:outlineLvl w:val="9"/>
    </w:pPr>
  </w:style>
  <w:style w:type="paragraph" w:styleId="Textodeglobo">
    <w:name w:val="Balloon Text"/>
    <w:basedOn w:val="Normal"/>
    <w:link w:val="TextodegloboCar"/>
    <w:uiPriority w:val="99"/>
    <w:semiHidden/>
    <w:unhideWhenUsed/>
    <w:rsid w:val="00D701E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01E8"/>
    <w:rPr>
      <w:rFonts w:ascii="Segoe UI" w:hAnsi="Segoe UI" w:cs="Segoe UI"/>
      <w:sz w:val="18"/>
      <w:szCs w:val="18"/>
    </w:rPr>
  </w:style>
  <w:style w:type="character" w:styleId="Nmerodepgina">
    <w:name w:val="page number"/>
    <w:basedOn w:val="Fuentedeprrafopredeter"/>
    <w:uiPriority w:val="99"/>
    <w:unhideWhenUsed/>
    <w:rsid w:val="00D701E8"/>
    <w:rPr>
      <w:rFonts w:eastAsiaTheme="minorEastAsia" w:cstheme="minorBidi"/>
      <w:bCs w:val="0"/>
      <w:iCs w:val="0"/>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8198">
      <w:bodyDiv w:val="1"/>
      <w:marLeft w:val="0"/>
      <w:marRight w:val="0"/>
      <w:marTop w:val="0"/>
      <w:marBottom w:val="0"/>
      <w:divBdr>
        <w:top w:val="none" w:sz="0" w:space="0" w:color="auto"/>
        <w:left w:val="none" w:sz="0" w:space="0" w:color="auto"/>
        <w:bottom w:val="none" w:sz="0" w:space="0" w:color="auto"/>
        <w:right w:val="none" w:sz="0" w:space="0" w:color="auto"/>
      </w:divBdr>
    </w:div>
    <w:div w:id="311955381">
      <w:bodyDiv w:val="1"/>
      <w:marLeft w:val="0"/>
      <w:marRight w:val="0"/>
      <w:marTop w:val="0"/>
      <w:marBottom w:val="0"/>
      <w:divBdr>
        <w:top w:val="none" w:sz="0" w:space="0" w:color="auto"/>
        <w:left w:val="none" w:sz="0" w:space="0" w:color="auto"/>
        <w:bottom w:val="none" w:sz="0" w:space="0" w:color="auto"/>
        <w:right w:val="none" w:sz="0" w:space="0" w:color="auto"/>
      </w:divBdr>
    </w:div>
    <w:div w:id="662121715">
      <w:bodyDiv w:val="1"/>
      <w:marLeft w:val="0"/>
      <w:marRight w:val="0"/>
      <w:marTop w:val="0"/>
      <w:marBottom w:val="0"/>
      <w:divBdr>
        <w:top w:val="none" w:sz="0" w:space="0" w:color="auto"/>
        <w:left w:val="none" w:sz="0" w:space="0" w:color="auto"/>
        <w:bottom w:val="none" w:sz="0" w:space="0" w:color="auto"/>
        <w:right w:val="none" w:sz="0" w:space="0" w:color="auto"/>
      </w:divBdr>
    </w:div>
    <w:div w:id="1110316534">
      <w:bodyDiv w:val="1"/>
      <w:marLeft w:val="0"/>
      <w:marRight w:val="0"/>
      <w:marTop w:val="0"/>
      <w:marBottom w:val="0"/>
      <w:divBdr>
        <w:top w:val="none" w:sz="0" w:space="0" w:color="auto"/>
        <w:left w:val="none" w:sz="0" w:space="0" w:color="auto"/>
        <w:bottom w:val="none" w:sz="0" w:space="0" w:color="auto"/>
        <w:right w:val="none" w:sz="0" w:space="0" w:color="auto"/>
      </w:divBdr>
    </w:div>
    <w:div w:id="1489176451">
      <w:bodyDiv w:val="1"/>
      <w:marLeft w:val="0"/>
      <w:marRight w:val="0"/>
      <w:marTop w:val="0"/>
      <w:marBottom w:val="0"/>
      <w:divBdr>
        <w:top w:val="none" w:sz="0" w:space="0" w:color="auto"/>
        <w:left w:val="none" w:sz="0" w:space="0" w:color="auto"/>
        <w:bottom w:val="none" w:sz="0" w:space="0" w:color="auto"/>
        <w:right w:val="none" w:sz="0" w:space="0" w:color="auto"/>
      </w:divBdr>
    </w:div>
    <w:div w:id="1614246977">
      <w:bodyDiv w:val="1"/>
      <w:marLeft w:val="0"/>
      <w:marRight w:val="0"/>
      <w:marTop w:val="0"/>
      <w:marBottom w:val="0"/>
      <w:divBdr>
        <w:top w:val="none" w:sz="0" w:space="0" w:color="auto"/>
        <w:left w:val="none" w:sz="0" w:space="0" w:color="auto"/>
        <w:bottom w:val="none" w:sz="0" w:space="0" w:color="auto"/>
        <w:right w:val="none" w:sz="0" w:space="0" w:color="auto"/>
      </w:divBdr>
    </w:div>
    <w:div w:id="1712073252">
      <w:bodyDiv w:val="1"/>
      <w:marLeft w:val="0"/>
      <w:marRight w:val="0"/>
      <w:marTop w:val="0"/>
      <w:marBottom w:val="0"/>
      <w:divBdr>
        <w:top w:val="none" w:sz="0" w:space="0" w:color="auto"/>
        <w:left w:val="none" w:sz="0" w:space="0" w:color="auto"/>
        <w:bottom w:val="none" w:sz="0" w:space="0" w:color="auto"/>
        <w:right w:val="none" w:sz="0" w:space="0" w:color="auto"/>
      </w:divBdr>
    </w:div>
    <w:div w:id="1713767425">
      <w:bodyDiv w:val="1"/>
      <w:marLeft w:val="0"/>
      <w:marRight w:val="0"/>
      <w:marTop w:val="0"/>
      <w:marBottom w:val="0"/>
      <w:divBdr>
        <w:top w:val="none" w:sz="0" w:space="0" w:color="auto"/>
        <w:left w:val="none" w:sz="0" w:space="0" w:color="auto"/>
        <w:bottom w:val="none" w:sz="0" w:space="0" w:color="auto"/>
        <w:right w:val="none" w:sz="0" w:space="0" w:color="auto"/>
      </w:divBdr>
    </w:div>
    <w:div w:id="1789662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obiernodecanarias.org/empleo/portal/estaticos_portal/online/contenidos/web/sce_empleo/documentacion/relacion_cee_ccaa.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bookpro\Google%20Drive\Tesis\clausulas%20sociales\Legislacio&#769;n\Contra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mr-IN"/>
              <a:t>%</a:t>
            </a:r>
            <a:r>
              <a:rPr lang="es-ES"/>
              <a:t> por sector</a:t>
            </a:r>
            <a:endParaRPr lang="mr-IN"/>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Sheet8!$B$30</c:f>
              <c:strCache>
                <c:ptCount val="1"/>
                <c:pt idx="0">
                  <c:v>%</c:v>
                </c:pt>
              </c:strCache>
            </c:strRef>
          </c:tx>
          <c:spPr>
            <a:solidFill>
              <a:schemeClr val="accent1"/>
            </a:solidFill>
            <a:ln>
              <a:noFill/>
            </a:ln>
            <a:effectLst/>
            <a:sp3d/>
          </c:spPr>
          <c:invertIfNegative val="0"/>
          <c:dLbls>
            <c:dLbl>
              <c:idx val="7"/>
              <c:layout>
                <c:manualLayout>
                  <c:x val="1.91662673694298E-3"/>
                  <c:y val="-2.91279810668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00-41CE-AC86-C64221703949}"/>
                </c:ext>
              </c:extLst>
            </c:dLbl>
            <c:dLbl>
              <c:idx val="9"/>
              <c:layout>
                <c:manualLayout>
                  <c:x val="-3.83325347388596E-3"/>
                  <c:y val="-1.45639905334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00-41CE-AC86-C64221703949}"/>
                </c:ext>
              </c:extLst>
            </c:dLbl>
            <c:dLbl>
              <c:idx val="15"/>
              <c:layout>
                <c:manualLayout>
                  <c:x val="1.34163871586009E-2"/>
                  <c:y val="-1.45639905334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00-41CE-AC86-C64221703949}"/>
                </c:ext>
              </c:extLst>
            </c:dLbl>
            <c:dLbl>
              <c:idx val="17"/>
              <c:layout>
                <c:manualLayout>
                  <c:x val="3.83325347388596E-3"/>
                  <c:y val="-1.45639905334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00-41CE-AC86-C6422170394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Sheet8!$A$31:$A$48</c:f>
              <c:strCache>
                <c:ptCount val="18"/>
                <c:pt idx="0">
                  <c:v>Auxiliar administrativo</c:v>
                </c:pt>
                <c:pt idx="1">
                  <c:v>Ayuda a domicilio</c:v>
                </c:pt>
                <c:pt idx="2">
                  <c:v>Comunicaciones</c:v>
                </c:pt>
                <c:pt idx="3">
                  <c:v>Concesión</c:v>
                </c:pt>
                <c:pt idx="4">
                  <c:v>Construcción</c:v>
                </c:pt>
                <c:pt idx="5">
                  <c:v>Documentos</c:v>
                </c:pt>
                <c:pt idx="6">
                  <c:v>Estudio</c:v>
                </c:pt>
                <c:pt idx="7">
                  <c:v>Formación</c:v>
                </c:pt>
                <c:pt idx="8">
                  <c:v>Inserción</c:v>
                </c:pt>
                <c:pt idx="9">
                  <c:v>Lavandería</c:v>
                </c:pt>
                <c:pt idx="10">
                  <c:v>Limpieza</c:v>
                </c:pt>
                <c:pt idx="11">
                  <c:v>Limpieza y administración</c:v>
                </c:pt>
                <c:pt idx="12">
                  <c:v>Mantenimiento</c:v>
                </c:pt>
                <c:pt idx="13">
                  <c:v>Obras viales</c:v>
                </c:pt>
                <c:pt idx="14">
                  <c:v>Residuos</c:v>
                </c:pt>
                <c:pt idx="15">
                  <c:v>Restauración</c:v>
                </c:pt>
                <c:pt idx="16">
                  <c:v>Señalización</c:v>
                </c:pt>
                <c:pt idx="17">
                  <c:v>Transporte</c:v>
                </c:pt>
              </c:strCache>
            </c:strRef>
          </c:cat>
          <c:val>
            <c:numRef>
              <c:f>Sheet8!$B$31:$B$48</c:f>
              <c:numCache>
                <c:formatCode>0.00%</c:formatCode>
                <c:ptCount val="18"/>
                <c:pt idx="0">
                  <c:v>3.3707865168539297E-2</c:v>
                </c:pt>
                <c:pt idx="1">
                  <c:v>1.1235955056179799E-2</c:v>
                </c:pt>
                <c:pt idx="2">
                  <c:v>6.7415730337078594E-2</c:v>
                </c:pt>
                <c:pt idx="3">
                  <c:v>4.49438202247191E-2</c:v>
                </c:pt>
                <c:pt idx="4">
                  <c:v>1.1235955056179799E-2</c:v>
                </c:pt>
                <c:pt idx="5">
                  <c:v>8.98876404494382E-2</c:v>
                </c:pt>
                <c:pt idx="6">
                  <c:v>1.1235955056179799E-2</c:v>
                </c:pt>
                <c:pt idx="7">
                  <c:v>1.1235955056179799E-2</c:v>
                </c:pt>
                <c:pt idx="8">
                  <c:v>1.1235955056179799E-2</c:v>
                </c:pt>
                <c:pt idx="9">
                  <c:v>2.2471910112359501E-2</c:v>
                </c:pt>
                <c:pt idx="10">
                  <c:v>0.224719101123595</c:v>
                </c:pt>
                <c:pt idx="11">
                  <c:v>1.1235955056179799E-2</c:v>
                </c:pt>
                <c:pt idx="12">
                  <c:v>0.33707865168539303</c:v>
                </c:pt>
                <c:pt idx="13">
                  <c:v>1.1235955056179799E-2</c:v>
                </c:pt>
                <c:pt idx="14">
                  <c:v>4.49438202247191E-2</c:v>
                </c:pt>
                <c:pt idx="15">
                  <c:v>2.2471910112359501E-2</c:v>
                </c:pt>
                <c:pt idx="16">
                  <c:v>1.1235955056179799E-2</c:v>
                </c:pt>
                <c:pt idx="17">
                  <c:v>2.2471910112359501E-2</c:v>
                </c:pt>
              </c:numCache>
            </c:numRef>
          </c:val>
          <c:shape val="cylinder"/>
          <c:extLst xmlns:c16r2="http://schemas.microsoft.com/office/drawing/2015/06/chart">
            <c:ext xmlns:c16="http://schemas.microsoft.com/office/drawing/2014/chart" uri="{C3380CC4-5D6E-409C-BE32-E72D297353CC}">
              <c16:uniqueId val="{00000004-5400-41CE-AC86-C64221703949}"/>
            </c:ext>
          </c:extLst>
        </c:ser>
        <c:dLbls>
          <c:showLegendKey val="0"/>
          <c:showVal val="0"/>
          <c:showCatName val="0"/>
          <c:showSerName val="0"/>
          <c:showPercent val="0"/>
          <c:showBubbleSize val="0"/>
        </c:dLbls>
        <c:gapWidth val="150"/>
        <c:shape val="box"/>
        <c:axId val="75909120"/>
        <c:axId val="79665920"/>
        <c:axId val="0"/>
      </c:bar3DChart>
      <c:catAx>
        <c:axId val="75909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800" b="0" i="0" u="none" strike="noStrike" kern="1200" cap="none" spc="0" normalizeH="0" baseline="0">
                <a:solidFill>
                  <a:schemeClr val="tx1">
                    <a:lumMod val="65000"/>
                    <a:lumOff val="35000"/>
                  </a:schemeClr>
                </a:solidFill>
                <a:latin typeface="+mn-lt"/>
                <a:ea typeface="+mn-ea"/>
                <a:cs typeface="+mn-cs"/>
              </a:defRPr>
            </a:pPr>
            <a:endParaRPr lang="es-ES"/>
          </a:p>
        </c:txPr>
        <c:crossAx val="79665920"/>
        <c:crosses val="autoZero"/>
        <c:auto val="1"/>
        <c:lblAlgn val="ctr"/>
        <c:lblOffset val="100"/>
        <c:noMultiLvlLbl val="0"/>
      </c:catAx>
      <c:valAx>
        <c:axId val="79665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7590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xmlns=""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87855B-A4EB-4D82-90B8-0991AB6F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2060</Words>
  <Characters>11335</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Rápida sobre los contratos reservados. ¿Qué son? ¿Cómo se aplican?</vt:lpstr>
      <vt:lpstr/>
    </vt:vector>
  </TitlesOfParts>
  <Company/>
  <LinksUpToDate>false</LinksUpToDate>
  <CharactersWithSpaces>13369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Rápida sobre los contratos reservados. ¿Qué son? ¿Cómo se aplican?</dc:title>
  <dc:creator>Cátedra CajaSiete de Economía Social y Cooperativa Universidad de La Laguna</dc:creator>
  <cp:lastModifiedBy>María</cp:lastModifiedBy>
  <cp:revision>2</cp:revision>
  <cp:lastPrinted>2017-06-26T07:50:00Z</cp:lastPrinted>
  <dcterms:created xsi:type="dcterms:W3CDTF">2017-07-12T07:55:00Z</dcterms:created>
  <dcterms:modified xsi:type="dcterms:W3CDTF">2017-07-12T07:55:00Z</dcterms:modified>
</cp:coreProperties>
</file>